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1ED" w:rsidRDefault="007C5B09" w:rsidP="0098517B">
      <w:pPr>
        <w:pStyle w:val="Heading1"/>
      </w:pPr>
      <w:bookmarkStart w:id="0" w:name="_Toc516383266"/>
      <w:bookmarkStart w:id="1" w:name="_Toc516384715"/>
      <w:bookmarkStart w:id="2" w:name="_Toc516384887"/>
      <w:bookmarkStart w:id="3" w:name="_Toc516385196"/>
      <w:bookmarkStart w:id="4" w:name="_Toc517239508"/>
      <w:bookmarkStart w:id="5" w:name="_Toc517248292"/>
      <w:bookmarkStart w:id="6" w:name="_Toc517248514"/>
      <w:bookmarkStart w:id="7" w:name="_Toc517248585"/>
      <w:bookmarkStart w:id="8" w:name="_Toc517505224"/>
      <w:bookmarkStart w:id="9" w:name="_Toc517507482"/>
      <w:bookmarkStart w:id="10" w:name="_Toc517580142"/>
      <w:bookmarkStart w:id="11" w:name="_Toc517581327"/>
      <w:bookmarkStart w:id="12" w:name="_Toc517597043"/>
      <w:bookmarkStart w:id="13" w:name="_Toc518110093"/>
      <w:bookmarkStart w:id="14" w:name="_Toc518200075"/>
      <w:bookmarkStart w:id="15" w:name="_Toc518275689"/>
      <w:bookmarkStart w:id="16" w:name="_Toc519499942"/>
      <w:bookmarkStart w:id="17" w:name="_Toc519561674"/>
      <w:bookmarkStart w:id="18" w:name="_Toc519570963"/>
      <w:bookmarkStart w:id="19" w:name="_Toc219790792"/>
      <w:bookmarkStart w:id="20" w:name="_Toc220832039"/>
      <w:bookmarkStart w:id="21" w:name="_Toc220832250"/>
      <w:bookmarkStart w:id="22" w:name="_Toc516383289"/>
      <w:bookmarkStart w:id="23" w:name="_Toc516384738"/>
      <w:bookmarkStart w:id="24" w:name="_Toc516384910"/>
      <w:bookmarkStart w:id="25" w:name="_Toc516385223"/>
      <w:bookmarkStart w:id="26" w:name="_Toc517239535"/>
      <w:bookmarkStart w:id="27" w:name="_Toc517248319"/>
      <w:bookmarkStart w:id="28" w:name="_Toc517248541"/>
      <w:bookmarkStart w:id="29" w:name="_Toc517248612"/>
      <w:bookmarkStart w:id="30" w:name="_Toc517505251"/>
      <w:bookmarkStart w:id="31" w:name="_Toc517507509"/>
      <w:bookmarkStart w:id="32" w:name="_Toc517580170"/>
      <w:bookmarkStart w:id="33" w:name="_Toc517581355"/>
      <w:bookmarkStart w:id="34" w:name="_Toc517597071"/>
      <w:bookmarkStart w:id="35" w:name="_Toc518109481"/>
      <w:bookmarkStart w:id="36" w:name="_Toc518110122"/>
      <w:bookmarkStart w:id="37" w:name="_Toc518200095"/>
      <w:bookmarkStart w:id="38" w:name="_Toc518275715"/>
      <w:bookmarkStart w:id="39" w:name="_Toc518359099"/>
      <w:bookmarkStart w:id="40" w:name="_Toc518370143"/>
      <w:bookmarkStart w:id="41" w:name="_Toc519486618"/>
      <w:bookmarkStart w:id="42" w:name="_GoBack"/>
      <w:bookmarkEnd w:id="42"/>
      <w:r>
        <w:t>2</w:t>
      </w:r>
      <w:r w:rsidR="00ED61ED">
        <w:t xml:space="preserve">010 </w:t>
      </w:r>
      <w:r w:rsidR="00AD6114">
        <w:t xml:space="preserve">Iowa </w:t>
      </w:r>
      <w:r w:rsidR="00ED61ED">
        <w:t>Tax Expenditure Study</w:t>
      </w:r>
      <w:r>
        <w:t>: Final Release</w:t>
      </w:r>
    </w:p>
    <w:p w:rsidR="00AD6114" w:rsidRDefault="00AB4620" w:rsidP="004E54B8">
      <w:pPr>
        <w:spacing w:after="240"/>
        <w:jc w:val="both"/>
        <w:rPr>
          <w:rFonts w:ascii="Arial" w:hAnsi="Arial" w:cs="Arial"/>
          <w:szCs w:val="24"/>
        </w:rPr>
      </w:pPr>
      <w:r>
        <w:rPr>
          <w:rFonts w:ascii="Arial" w:hAnsi="Arial" w:cs="Arial"/>
          <w:szCs w:val="24"/>
        </w:rPr>
        <w:t>November</w:t>
      </w:r>
      <w:r w:rsidR="00A16C3A" w:rsidRPr="00A16C3A">
        <w:rPr>
          <w:rFonts w:ascii="Arial" w:hAnsi="Arial" w:cs="Arial"/>
          <w:szCs w:val="24"/>
        </w:rPr>
        <w:t xml:space="preserve"> 201</w:t>
      </w:r>
      <w:r w:rsidR="003811FB">
        <w:rPr>
          <w:rFonts w:ascii="Arial" w:hAnsi="Arial" w:cs="Arial"/>
          <w:szCs w:val="24"/>
        </w:rPr>
        <w:t>4</w:t>
      </w:r>
    </w:p>
    <w:p w:rsidR="00F32710" w:rsidRPr="00F32710" w:rsidRDefault="00F32710" w:rsidP="004E54B8">
      <w:pPr>
        <w:spacing w:after="240"/>
        <w:jc w:val="both"/>
        <w:rPr>
          <w:rFonts w:ascii="Arial" w:hAnsi="Arial" w:cs="Arial"/>
          <w:b/>
          <w:szCs w:val="24"/>
        </w:rPr>
      </w:pPr>
      <w:r w:rsidRPr="00F32710">
        <w:rPr>
          <w:rFonts w:ascii="Arial" w:hAnsi="Arial" w:cs="Arial"/>
          <w:b/>
          <w:szCs w:val="24"/>
        </w:rPr>
        <w:t>Introduction</w:t>
      </w:r>
    </w:p>
    <w:p w:rsidR="002A0612" w:rsidRPr="002A0612" w:rsidRDefault="002A0612" w:rsidP="002A0612">
      <w:pPr>
        <w:spacing w:after="240"/>
        <w:jc w:val="both"/>
        <w:rPr>
          <w:rFonts w:ascii="Arial" w:hAnsi="Arial" w:cs="Arial"/>
          <w:szCs w:val="24"/>
        </w:rPr>
      </w:pPr>
      <w:r w:rsidRPr="002A0612">
        <w:rPr>
          <w:rFonts w:ascii="Arial" w:hAnsi="Arial" w:cs="Arial"/>
          <w:szCs w:val="24"/>
        </w:rPr>
        <w:t>The 20</w:t>
      </w:r>
      <w:r>
        <w:rPr>
          <w:rFonts w:ascii="Arial" w:hAnsi="Arial" w:cs="Arial"/>
          <w:szCs w:val="24"/>
        </w:rPr>
        <w:t>1</w:t>
      </w:r>
      <w:r w:rsidRPr="002A0612">
        <w:rPr>
          <w:rFonts w:ascii="Arial" w:hAnsi="Arial" w:cs="Arial"/>
          <w:szCs w:val="24"/>
        </w:rPr>
        <w:t>0 Iowa Tax Expenditure Study provides information on the impact of tax credits, deductions, exemptions, and income exclusions on the revenue raising capacity of the State’s four major General Fund taxes</w:t>
      </w:r>
      <w:r>
        <w:rPr>
          <w:rFonts w:ascii="Arial" w:hAnsi="Arial" w:cs="Arial"/>
          <w:szCs w:val="24"/>
        </w:rPr>
        <w:t xml:space="preserve"> as well as the property tax levied at the local level. </w:t>
      </w:r>
      <w:r w:rsidRPr="002A0612">
        <w:rPr>
          <w:rFonts w:ascii="Arial" w:hAnsi="Arial" w:cs="Arial"/>
          <w:szCs w:val="24"/>
        </w:rPr>
        <w:t xml:space="preserve">The </w:t>
      </w:r>
      <w:r>
        <w:rPr>
          <w:rFonts w:ascii="Arial" w:hAnsi="Arial" w:cs="Arial"/>
          <w:szCs w:val="24"/>
        </w:rPr>
        <w:t xml:space="preserve">State </w:t>
      </w:r>
      <w:r w:rsidRPr="002A0612">
        <w:rPr>
          <w:rFonts w:ascii="Arial" w:hAnsi="Arial" w:cs="Arial"/>
          <w:szCs w:val="24"/>
        </w:rPr>
        <w:t xml:space="preserve">taxes considered in the report are the </w:t>
      </w:r>
      <w:r w:rsidR="0064214E">
        <w:rPr>
          <w:rFonts w:ascii="Arial" w:hAnsi="Arial" w:cs="Arial"/>
          <w:szCs w:val="24"/>
        </w:rPr>
        <w:t>I</w:t>
      </w:r>
      <w:r w:rsidRPr="002A0612">
        <w:rPr>
          <w:rFonts w:ascii="Arial" w:hAnsi="Arial" w:cs="Arial"/>
          <w:szCs w:val="24"/>
        </w:rPr>
        <w:t>ndi</w:t>
      </w:r>
      <w:r w:rsidR="0064214E">
        <w:rPr>
          <w:rFonts w:ascii="Arial" w:hAnsi="Arial" w:cs="Arial"/>
          <w:szCs w:val="24"/>
        </w:rPr>
        <w:t>vidual Income T</w:t>
      </w:r>
      <w:r>
        <w:rPr>
          <w:rFonts w:ascii="Arial" w:hAnsi="Arial" w:cs="Arial"/>
          <w:szCs w:val="24"/>
        </w:rPr>
        <w:t xml:space="preserve">ax, the </w:t>
      </w:r>
      <w:r w:rsidR="0064214E">
        <w:rPr>
          <w:rFonts w:ascii="Arial" w:hAnsi="Arial" w:cs="Arial"/>
          <w:szCs w:val="24"/>
        </w:rPr>
        <w:t>C</w:t>
      </w:r>
      <w:r>
        <w:rPr>
          <w:rFonts w:ascii="Arial" w:hAnsi="Arial" w:cs="Arial"/>
          <w:szCs w:val="24"/>
        </w:rPr>
        <w:t>orporation</w:t>
      </w:r>
      <w:r w:rsidRPr="002A0612">
        <w:rPr>
          <w:rFonts w:ascii="Arial" w:hAnsi="Arial" w:cs="Arial"/>
          <w:szCs w:val="24"/>
        </w:rPr>
        <w:t xml:space="preserve"> </w:t>
      </w:r>
      <w:r w:rsidR="0064214E">
        <w:rPr>
          <w:rFonts w:ascii="Arial" w:hAnsi="Arial" w:cs="Arial"/>
          <w:szCs w:val="24"/>
        </w:rPr>
        <w:t>I</w:t>
      </w:r>
      <w:r w:rsidRPr="002A0612">
        <w:rPr>
          <w:rFonts w:ascii="Arial" w:hAnsi="Arial" w:cs="Arial"/>
          <w:szCs w:val="24"/>
        </w:rPr>
        <w:t xml:space="preserve">ncome </w:t>
      </w:r>
      <w:r w:rsidR="0064214E">
        <w:rPr>
          <w:rFonts w:ascii="Arial" w:hAnsi="Arial" w:cs="Arial"/>
          <w:szCs w:val="24"/>
        </w:rPr>
        <w:t>T</w:t>
      </w:r>
      <w:r w:rsidRPr="002A0612">
        <w:rPr>
          <w:rFonts w:ascii="Arial" w:hAnsi="Arial" w:cs="Arial"/>
          <w:szCs w:val="24"/>
        </w:rPr>
        <w:t xml:space="preserve">ax, the </w:t>
      </w:r>
      <w:r w:rsidR="0064214E">
        <w:rPr>
          <w:rFonts w:ascii="Arial" w:hAnsi="Arial" w:cs="Arial"/>
          <w:szCs w:val="24"/>
        </w:rPr>
        <w:t xml:space="preserve">Sales Tax, </w:t>
      </w:r>
      <w:r w:rsidRPr="002A0612">
        <w:rPr>
          <w:rFonts w:ascii="Arial" w:hAnsi="Arial" w:cs="Arial"/>
          <w:szCs w:val="24"/>
        </w:rPr>
        <w:t xml:space="preserve">the </w:t>
      </w:r>
      <w:r w:rsidR="0064214E">
        <w:rPr>
          <w:rFonts w:ascii="Arial" w:hAnsi="Arial" w:cs="Arial"/>
          <w:szCs w:val="24"/>
        </w:rPr>
        <w:t>U</w:t>
      </w:r>
      <w:r w:rsidRPr="002A0612">
        <w:rPr>
          <w:rFonts w:ascii="Arial" w:hAnsi="Arial" w:cs="Arial"/>
          <w:szCs w:val="24"/>
        </w:rPr>
        <w:t xml:space="preserve">se </w:t>
      </w:r>
      <w:r w:rsidR="0064214E">
        <w:rPr>
          <w:rFonts w:ascii="Arial" w:hAnsi="Arial" w:cs="Arial"/>
          <w:szCs w:val="24"/>
        </w:rPr>
        <w:t>T</w:t>
      </w:r>
      <w:r w:rsidRPr="002A0612">
        <w:rPr>
          <w:rFonts w:ascii="Arial" w:hAnsi="Arial" w:cs="Arial"/>
          <w:szCs w:val="24"/>
        </w:rPr>
        <w:t>ax</w:t>
      </w:r>
      <w:r w:rsidR="0064214E">
        <w:rPr>
          <w:rFonts w:ascii="Arial" w:hAnsi="Arial" w:cs="Arial"/>
          <w:szCs w:val="24"/>
        </w:rPr>
        <w:t>, and various Tax Credits that can be claimed against multiple tax types</w:t>
      </w:r>
      <w:r w:rsidRPr="002A0612">
        <w:rPr>
          <w:rFonts w:ascii="Arial" w:hAnsi="Arial" w:cs="Arial"/>
          <w:szCs w:val="24"/>
        </w:rPr>
        <w:t xml:space="preserve">. </w:t>
      </w:r>
      <w:r>
        <w:rPr>
          <w:rFonts w:ascii="Arial" w:hAnsi="Arial" w:cs="Arial"/>
          <w:szCs w:val="24"/>
        </w:rPr>
        <w:t xml:space="preserve">In fiscal year 2010, </w:t>
      </w:r>
      <w:r w:rsidR="0064214E">
        <w:rPr>
          <w:rFonts w:ascii="Arial" w:hAnsi="Arial" w:cs="Arial"/>
          <w:szCs w:val="24"/>
        </w:rPr>
        <w:t xml:space="preserve">net collections under </w:t>
      </w:r>
      <w:r w:rsidRPr="002A0612">
        <w:rPr>
          <w:rFonts w:ascii="Arial" w:hAnsi="Arial" w:cs="Arial"/>
          <w:szCs w:val="24"/>
        </w:rPr>
        <w:t>these four taxes account</w:t>
      </w:r>
      <w:r>
        <w:rPr>
          <w:rFonts w:ascii="Arial" w:hAnsi="Arial" w:cs="Arial"/>
          <w:szCs w:val="24"/>
        </w:rPr>
        <w:t>ed</w:t>
      </w:r>
      <w:r w:rsidRPr="002A0612">
        <w:rPr>
          <w:rFonts w:ascii="Arial" w:hAnsi="Arial" w:cs="Arial"/>
          <w:szCs w:val="24"/>
        </w:rPr>
        <w:t xml:space="preserve"> for </w:t>
      </w:r>
      <w:r w:rsidR="0081363B">
        <w:rPr>
          <w:rFonts w:ascii="Arial" w:hAnsi="Arial" w:cs="Arial"/>
          <w:szCs w:val="24"/>
        </w:rPr>
        <w:t>87</w:t>
      </w:r>
      <w:r w:rsidRPr="002A0612">
        <w:rPr>
          <w:rFonts w:ascii="Arial" w:hAnsi="Arial" w:cs="Arial"/>
          <w:szCs w:val="24"/>
        </w:rPr>
        <w:t xml:space="preserve"> percent of </w:t>
      </w:r>
      <w:r w:rsidR="0064214E">
        <w:rPr>
          <w:rFonts w:ascii="Arial" w:hAnsi="Arial" w:cs="Arial"/>
          <w:szCs w:val="24"/>
        </w:rPr>
        <w:t xml:space="preserve">net </w:t>
      </w:r>
      <w:r w:rsidRPr="002A0612">
        <w:rPr>
          <w:rFonts w:ascii="Arial" w:hAnsi="Arial" w:cs="Arial"/>
          <w:szCs w:val="24"/>
        </w:rPr>
        <w:t xml:space="preserve">General Fund tax receipts.  </w:t>
      </w:r>
      <w:r w:rsidR="00F32710">
        <w:rPr>
          <w:rFonts w:ascii="Arial" w:hAnsi="Arial" w:cs="Arial"/>
          <w:szCs w:val="24"/>
        </w:rPr>
        <w:t>The Department has completed a similar study for the 2000 and 2005 tax years.</w:t>
      </w:r>
    </w:p>
    <w:p w:rsidR="002A0612" w:rsidRPr="002A0612" w:rsidRDefault="002A0612" w:rsidP="002A0612">
      <w:pPr>
        <w:spacing w:after="240"/>
        <w:jc w:val="both"/>
        <w:rPr>
          <w:rFonts w:ascii="Arial" w:hAnsi="Arial" w:cs="Arial"/>
          <w:szCs w:val="24"/>
        </w:rPr>
      </w:pPr>
      <w:r w:rsidRPr="002A0612">
        <w:rPr>
          <w:rFonts w:ascii="Arial" w:hAnsi="Arial" w:cs="Arial"/>
          <w:szCs w:val="24"/>
        </w:rPr>
        <w:t xml:space="preserve">In preparing this report </w:t>
      </w:r>
      <w:r w:rsidR="00016865">
        <w:rPr>
          <w:rFonts w:ascii="Arial" w:hAnsi="Arial" w:cs="Arial"/>
          <w:szCs w:val="24"/>
        </w:rPr>
        <w:t>3</w:t>
      </w:r>
      <w:r w:rsidR="00603510">
        <w:rPr>
          <w:rFonts w:ascii="Arial" w:hAnsi="Arial" w:cs="Arial"/>
          <w:szCs w:val="24"/>
        </w:rPr>
        <w:t>7</w:t>
      </w:r>
      <w:r w:rsidR="00BF2888">
        <w:rPr>
          <w:rFonts w:ascii="Arial" w:hAnsi="Arial" w:cs="Arial"/>
          <w:szCs w:val="24"/>
        </w:rPr>
        <w:t>3</w:t>
      </w:r>
      <w:r w:rsidRPr="002A0612">
        <w:rPr>
          <w:rFonts w:ascii="Arial" w:hAnsi="Arial" w:cs="Arial"/>
          <w:szCs w:val="24"/>
        </w:rPr>
        <w:t xml:space="preserve"> separate tax law provisions were identified as meeting the definition of tax expenditures for tax year 20</w:t>
      </w:r>
      <w:r w:rsidR="00F32710">
        <w:rPr>
          <w:rFonts w:ascii="Arial" w:hAnsi="Arial" w:cs="Arial"/>
          <w:szCs w:val="24"/>
        </w:rPr>
        <w:t>1</w:t>
      </w:r>
      <w:r w:rsidRPr="002A0612">
        <w:rPr>
          <w:rFonts w:ascii="Arial" w:hAnsi="Arial" w:cs="Arial"/>
          <w:szCs w:val="24"/>
        </w:rPr>
        <w:t xml:space="preserve">0.  The report quantifies the impact of </w:t>
      </w:r>
      <w:r w:rsidR="00BF2888">
        <w:rPr>
          <w:rFonts w:ascii="Arial" w:hAnsi="Arial" w:cs="Arial"/>
          <w:szCs w:val="24"/>
        </w:rPr>
        <w:t>292</w:t>
      </w:r>
      <w:r w:rsidR="00BF2888" w:rsidRPr="002A0612">
        <w:rPr>
          <w:rFonts w:ascii="Arial" w:hAnsi="Arial" w:cs="Arial"/>
          <w:szCs w:val="24"/>
        </w:rPr>
        <w:t xml:space="preserve"> </w:t>
      </w:r>
      <w:r w:rsidRPr="002A0612">
        <w:rPr>
          <w:rFonts w:ascii="Arial" w:hAnsi="Arial" w:cs="Arial"/>
          <w:szCs w:val="24"/>
        </w:rPr>
        <w:t xml:space="preserve">of these provisions.  For </w:t>
      </w:r>
      <w:r w:rsidR="00991ED9">
        <w:rPr>
          <w:rFonts w:ascii="Arial" w:hAnsi="Arial" w:cs="Arial"/>
          <w:szCs w:val="24"/>
        </w:rPr>
        <w:t>3</w:t>
      </w:r>
      <w:r w:rsidR="006A47E4">
        <w:rPr>
          <w:rFonts w:ascii="Arial" w:hAnsi="Arial" w:cs="Arial"/>
          <w:szCs w:val="24"/>
        </w:rPr>
        <w:t>5</w:t>
      </w:r>
      <w:r w:rsidRPr="002A0612">
        <w:rPr>
          <w:rFonts w:ascii="Arial" w:hAnsi="Arial" w:cs="Arial"/>
          <w:szCs w:val="24"/>
        </w:rPr>
        <w:t xml:space="preserve"> of the provisions the impact was determined to be minimal (under $100,000). For the other </w:t>
      </w:r>
      <w:r w:rsidR="00BF2888">
        <w:rPr>
          <w:rFonts w:ascii="Arial" w:hAnsi="Arial" w:cs="Arial"/>
          <w:szCs w:val="24"/>
        </w:rPr>
        <w:t>81</w:t>
      </w:r>
      <w:r w:rsidR="00BF2888" w:rsidRPr="002A0612">
        <w:rPr>
          <w:rFonts w:ascii="Arial" w:hAnsi="Arial" w:cs="Arial"/>
          <w:szCs w:val="24"/>
        </w:rPr>
        <w:t xml:space="preserve"> </w:t>
      </w:r>
      <w:r w:rsidRPr="002A0612">
        <w:rPr>
          <w:rFonts w:ascii="Arial" w:hAnsi="Arial" w:cs="Arial"/>
          <w:szCs w:val="24"/>
        </w:rPr>
        <w:t xml:space="preserve">provisions the impact either could not be determined due to the lack of adequate data or the impact was incorporated under another provision. </w:t>
      </w:r>
    </w:p>
    <w:p w:rsidR="00C15D1F" w:rsidRDefault="00C15D1F" w:rsidP="00C15D1F">
      <w:pPr>
        <w:spacing w:after="240"/>
        <w:jc w:val="both"/>
        <w:rPr>
          <w:rFonts w:ascii="Arial" w:hAnsi="Arial" w:cs="Arial"/>
          <w:szCs w:val="24"/>
        </w:rPr>
      </w:pPr>
      <w:r w:rsidRPr="002A0612">
        <w:rPr>
          <w:rFonts w:ascii="Arial" w:hAnsi="Arial" w:cs="Arial"/>
          <w:szCs w:val="24"/>
        </w:rPr>
        <w:t xml:space="preserve">The total impact of the </w:t>
      </w:r>
      <w:r>
        <w:rPr>
          <w:rFonts w:ascii="Arial" w:hAnsi="Arial" w:cs="Arial"/>
          <w:szCs w:val="24"/>
        </w:rPr>
        <w:t>25</w:t>
      </w:r>
      <w:r w:rsidR="00BF2888">
        <w:rPr>
          <w:rFonts w:ascii="Arial" w:hAnsi="Arial" w:cs="Arial"/>
          <w:szCs w:val="24"/>
        </w:rPr>
        <w:t>9</w:t>
      </w:r>
      <w:r w:rsidRPr="002A0612">
        <w:rPr>
          <w:rFonts w:ascii="Arial" w:hAnsi="Arial" w:cs="Arial"/>
          <w:szCs w:val="24"/>
        </w:rPr>
        <w:t xml:space="preserve"> </w:t>
      </w:r>
      <w:r>
        <w:rPr>
          <w:rFonts w:ascii="Arial" w:hAnsi="Arial" w:cs="Arial"/>
          <w:szCs w:val="24"/>
        </w:rPr>
        <w:t xml:space="preserve">estimated </w:t>
      </w:r>
      <w:r w:rsidRPr="002A0612">
        <w:rPr>
          <w:rFonts w:ascii="Arial" w:hAnsi="Arial" w:cs="Arial"/>
          <w:szCs w:val="24"/>
        </w:rPr>
        <w:t>provisions for</w:t>
      </w:r>
      <w:r>
        <w:rPr>
          <w:rFonts w:ascii="Arial" w:hAnsi="Arial" w:cs="Arial"/>
          <w:szCs w:val="24"/>
        </w:rPr>
        <w:t xml:space="preserve"> Individual and Corporation Income Taxes, Sales and Use Taxes, and Tax Credits</w:t>
      </w:r>
      <w:r w:rsidRPr="002A0612">
        <w:rPr>
          <w:rFonts w:ascii="Arial" w:hAnsi="Arial" w:cs="Arial"/>
          <w:szCs w:val="24"/>
        </w:rPr>
        <w:t xml:space="preserve"> equals $</w:t>
      </w:r>
      <w:r w:rsidR="006C7452">
        <w:rPr>
          <w:rFonts w:ascii="Arial" w:hAnsi="Arial" w:cs="Arial"/>
          <w:szCs w:val="24"/>
        </w:rPr>
        <w:t>12.11</w:t>
      </w:r>
      <w:r w:rsidRPr="002A0612">
        <w:rPr>
          <w:rFonts w:ascii="Arial" w:hAnsi="Arial" w:cs="Arial"/>
          <w:szCs w:val="24"/>
        </w:rPr>
        <w:t xml:space="preserve"> </w:t>
      </w:r>
      <w:r>
        <w:rPr>
          <w:rFonts w:ascii="Arial" w:hAnsi="Arial" w:cs="Arial"/>
          <w:szCs w:val="24"/>
        </w:rPr>
        <w:t>b</w:t>
      </w:r>
      <w:r w:rsidRPr="002A0612">
        <w:rPr>
          <w:rFonts w:ascii="Arial" w:hAnsi="Arial" w:cs="Arial"/>
          <w:szCs w:val="24"/>
        </w:rPr>
        <w:t xml:space="preserve">illion.  </w:t>
      </w:r>
      <w:r>
        <w:rPr>
          <w:rFonts w:ascii="Arial" w:hAnsi="Arial" w:cs="Arial"/>
          <w:szCs w:val="24"/>
        </w:rPr>
        <w:t xml:space="preserve">The </w:t>
      </w:r>
      <w:r w:rsidR="00F550DF">
        <w:rPr>
          <w:rFonts w:ascii="Arial" w:hAnsi="Arial" w:cs="Arial"/>
          <w:szCs w:val="24"/>
        </w:rPr>
        <w:t>33</w:t>
      </w:r>
      <w:r>
        <w:rPr>
          <w:rFonts w:ascii="Arial" w:hAnsi="Arial" w:cs="Arial"/>
          <w:szCs w:val="24"/>
        </w:rPr>
        <w:t xml:space="preserve"> estimated provisions for Property Tax are presented either in terms of their impact on assessment values or on property tax revenues. The estimated change in the Property Tax assessment values equals $83.25 billion and the estimated change in Property Tax revenues equals $15</w:t>
      </w:r>
      <w:r w:rsidR="00760330">
        <w:rPr>
          <w:rFonts w:ascii="Arial" w:hAnsi="Arial" w:cs="Arial"/>
          <w:szCs w:val="24"/>
        </w:rPr>
        <w:t>1</w:t>
      </w:r>
      <w:r>
        <w:rPr>
          <w:rFonts w:ascii="Arial" w:hAnsi="Arial" w:cs="Arial"/>
          <w:szCs w:val="24"/>
        </w:rPr>
        <w:t>.2 million.</w:t>
      </w:r>
    </w:p>
    <w:p w:rsidR="00DC0CFE" w:rsidRPr="0098517B" w:rsidRDefault="00F015B9" w:rsidP="004E54B8">
      <w:pPr>
        <w:spacing w:after="240"/>
        <w:jc w:val="both"/>
        <w:rPr>
          <w:rFonts w:ascii="Arial" w:hAnsi="Arial" w:cs="Arial"/>
          <w:szCs w:val="24"/>
        </w:rPr>
      </w:pPr>
      <w:r w:rsidRPr="0098517B">
        <w:rPr>
          <w:rFonts w:ascii="Arial" w:hAnsi="Arial" w:cs="Arial"/>
          <w:szCs w:val="24"/>
        </w:rPr>
        <w:t>Th</w:t>
      </w:r>
      <w:r w:rsidR="00AB4620">
        <w:rPr>
          <w:rFonts w:ascii="Arial" w:hAnsi="Arial" w:cs="Arial"/>
          <w:szCs w:val="24"/>
        </w:rPr>
        <w:t xml:space="preserve">e Iowa Department of Revenue first released two components (Sales &amp; Use and Property Tax) of the 2010 </w:t>
      </w:r>
      <w:r w:rsidR="00937EFC">
        <w:rPr>
          <w:rFonts w:ascii="Arial" w:hAnsi="Arial" w:cs="Arial"/>
          <w:szCs w:val="24"/>
        </w:rPr>
        <w:t xml:space="preserve">Iowa </w:t>
      </w:r>
      <w:r w:rsidR="00AB4620">
        <w:rPr>
          <w:rFonts w:ascii="Arial" w:hAnsi="Arial" w:cs="Arial"/>
          <w:szCs w:val="24"/>
        </w:rPr>
        <w:t xml:space="preserve">Tax Expenditure Study in 2013. A third component (Tax Credits) was released several months later. This </w:t>
      </w:r>
      <w:r w:rsidR="007C5B09">
        <w:rPr>
          <w:rFonts w:ascii="Arial" w:hAnsi="Arial" w:cs="Arial"/>
          <w:szCs w:val="24"/>
        </w:rPr>
        <w:t xml:space="preserve">final </w:t>
      </w:r>
      <w:r w:rsidR="00AB4620">
        <w:rPr>
          <w:rFonts w:ascii="Arial" w:hAnsi="Arial" w:cs="Arial"/>
          <w:szCs w:val="24"/>
        </w:rPr>
        <w:t xml:space="preserve">release </w:t>
      </w:r>
      <w:r w:rsidR="0064214E">
        <w:rPr>
          <w:rFonts w:ascii="Arial" w:hAnsi="Arial" w:cs="Arial"/>
          <w:szCs w:val="24"/>
        </w:rPr>
        <w:t xml:space="preserve">combines the tax expenditures for Sales </w:t>
      </w:r>
      <w:r w:rsidR="00C15D1F">
        <w:rPr>
          <w:rFonts w:ascii="Arial" w:hAnsi="Arial" w:cs="Arial"/>
          <w:szCs w:val="24"/>
        </w:rPr>
        <w:t xml:space="preserve">and </w:t>
      </w:r>
      <w:r w:rsidR="0064214E">
        <w:rPr>
          <w:rFonts w:ascii="Arial" w:hAnsi="Arial" w:cs="Arial"/>
          <w:szCs w:val="24"/>
        </w:rPr>
        <w:t>Use</w:t>
      </w:r>
      <w:r w:rsidR="00C15D1F">
        <w:rPr>
          <w:rFonts w:ascii="Arial" w:hAnsi="Arial" w:cs="Arial"/>
          <w:szCs w:val="24"/>
        </w:rPr>
        <w:t xml:space="preserve"> Taxes and</w:t>
      </w:r>
      <w:r w:rsidR="0064214E">
        <w:rPr>
          <w:rFonts w:ascii="Arial" w:hAnsi="Arial" w:cs="Arial"/>
          <w:szCs w:val="24"/>
        </w:rPr>
        <w:t xml:space="preserve"> Tax Credits with </w:t>
      </w:r>
      <w:r w:rsidR="00AB4620">
        <w:rPr>
          <w:rFonts w:ascii="Arial" w:hAnsi="Arial" w:cs="Arial"/>
          <w:szCs w:val="24"/>
        </w:rPr>
        <w:t>the</w:t>
      </w:r>
      <w:r w:rsidR="0064214E">
        <w:rPr>
          <w:rFonts w:ascii="Arial" w:hAnsi="Arial" w:cs="Arial"/>
          <w:szCs w:val="24"/>
        </w:rPr>
        <w:t xml:space="preserve"> tax expenditures estimated for</w:t>
      </w:r>
      <w:r w:rsidR="00AB4620">
        <w:rPr>
          <w:rFonts w:ascii="Arial" w:hAnsi="Arial" w:cs="Arial"/>
          <w:szCs w:val="24"/>
        </w:rPr>
        <w:t xml:space="preserve"> Individual and Corporation Income Tax</w:t>
      </w:r>
      <w:r w:rsidR="00C15D1F">
        <w:rPr>
          <w:rFonts w:ascii="Arial" w:hAnsi="Arial" w:cs="Arial"/>
          <w:szCs w:val="24"/>
        </w:rPr>
        <w:t>es</w:t>
      </w:r>
      <w:r w:rsidR="00AB4620">
        <w:rPr>
          <w:rFonts w:ascii="Arial" w:hAnsi="Arial" w:cs="Arial"/>
          <w:szCs w:val="24"/>
        </w:rPr>
        <w:t xml:space="preserve"> effec</w:t>
      </w:r>
      <w:r w:rsidR="0015098B">
        <w:rPr>
          <w:rFonts w:ascii="Arial" w:hAnsi="Arial" w:cs="Arial"/>
          <w:szCs w:val="24"/>
        </w:rPr>
        <w:t xml:space="preserve">tive during the 2010 tax year. </w:t>
      </w:r>
      <w:r w:rsidR="00AB4620">
        <w:rPr>
          <w:rFonts w:ascii="Arial" w:hAnsi="Arial" w:cs="Arial"/>
          <w:szCs w:val="24"/>
        </w:rPr>
        <w:t>The additional information included in this release include</w:t>
      </w:r>
      <w:r w:rsidR="00675CC0" w:rsidRPr="0098517B">
        <w:rPr>
          <w:rFonts w:ascii="Arial" w:hAnsi="Arial" w:cs="Arial"/>
          <w:szCs w:val="24"/>
        </w:rPr>
        <w:t xml:space="preserve">: </w:t>
      </w:r>
      <w:r w:rsidR="00DC0CFE" w:rsidRPr="0098517B">
        <w:rPr>
          <w:rFonts w:ascii="Arial" w:hAnsi="Arial" w:cs="Arial"/>
          <w:szCs w:val="24"/>
        </w:rPr>
        <w:t>14</w:t>
      </w:r>
      <w:r w:rsidR="00C77748" w:rsidRPr="0098517B">
        <w:rPr>
          <w:rFonts w:ascii="Arial" w:hAnsi="Arial" w:cs="Arial"/>
          <w:szCs w:val="24"/>
        </w:rPr>
        <w:t>3</w:t>
      </w:r>
      <w:r w:rsidR="00AB4620">
        <w:rPr>
          <w:rFonts w:ascii="Arial" w:hAnsi="Arial" w:cs="Arial"/>
          <w:szCs w:val="24"/>
        </w:rPr>
        <w:t xml:space="preserve"> Individual and Corporation</w:t>
      </w:r>
      <w:r w:rsidR="00DC0CFE" w:rsidRPr="0098517B">
        <w:rPr>
          <w:rFonts w:ascii="Arial" w:hAnsi="Arial" w:cs="Arial"/>
          <w:szCs w:val="24"/>
        </w:rPr>
        <w:t xml:space="preserve"> Income tax expenditures</w:t>
      </w:r>
      <w:r w:rsidR="00C77748" w:rsidRPr="0098517B">
        <w:rPr>
          <w:rFonts w:ascii="Arial" w:hAnsi="Arial" w:cs="Arial"/>
          <w:szCs w:val="24"/>
        </w:rPr>
        <w:t xml:space="preserve">-109 </w:t>
      </w:r>
      <w:r w:rsidR="0064214E">
        <w:rPr>
          <w:rFonts w:ascii="Arial" w:hAnsi="Arial" w:cs="Arial"/>
          <w:szCs w:val="24"/>
        </w:rPr>
        <w:t>e</w:t>
      </w:r>
      <w:r w:rsidR="00C77748" w:rsidRPr="0098517B">
        <w:rPr>
          <w:rFonts w:ascii="Arial" w:hAnsi="Arial" w:cs="Arial"/>
          <w:szCs w:val="24"/>
        </w:rPr>
        <w:t xml:space="preserve">stimates </w:t>
      </w:r>
      <w:r w:rsidR="0064214E">
        <w:rPr>
          <w:rFonts w:ascii="Arial" w:hAnsi="Arial" w:cs="Arial"/>
          <w:szCs w:val="24"/>
        </w:rPr>
        <w:t>p</w:t>
      </w:r>
      <w:r w:rsidR="00C77748" w:rsidRPr="0098517B">
        <w:rPr>
          <w:rFonts w:ascii="Arial" w:hAnsi="Arial" w:cs="Arial"/>
          <w:szCs w:val="24"/>
        </w:rPr>
        <w:t xml:space="preserve">ossible and 34 </w:t>
      </w:r>
      <w:r w:rsidR="0064214E">
        <w:rPr>
          <w:rFonts w:ascii="Arial" w:hAnsi="Arial" w:cs="Arial"/>
          <w:szCs w:val="24"/>
        </w:rPr>
        <w:t>n</w:t>
      </w:r>
      <w:r w:rsidR="00C77748" w:rsidRPr="0098517B">
        <w:rPr>
          <w:rFonts w:ascii="Arial" w:hAnsi="Arial" w:cs="Arial"/>
          <w:szCs w:val="24"/>
        </w:rPr>
        <w:t xml:space="preserve">o </w:t>
      </w:r>
      <w:r w:rsidR="0064214E">
        <w:rPr>
          <w:rFonts w:ascii="Arial" w:hAnsi="Arial" w:cs="Arial"/>
          <w:szCs w:val="24"/>
        </w:rPr>
        <w:t>e</w:t>
      </w:r>
      <w:r w:rsidR="00C77748" w:rsidRPr="0098517B">
        <w:rPr>
          <w:rFonts w:ascii="Arial" w:hAnsi="Arial" w:cs="Arial"/>
          <w:szCs w:val="24"/>
        </w:rPr>
        <w:t xml:space="preserve">stimates </w:t>
      </w:r>
      <w:r w:rsidR="0064214E">
        <w:rPr>
          <w:rFonts w:ascii="Arial" w:hAnsi="Arial" w:cs="Arial"/>
          <w:szCs w:val="24"/>
        </w:rPr>
        <w:t>p</w:t>
      </w:r>
      <w:r w:rsidR="00C77748" w:rsidRPr="0098517B">
        <w:rPr>
          <w:rFonts w:ascii="Arial" w:hAnsi="Arial" w:cs="Arial"/>
          <w:szCs w:val="24"/>
        </w:rPr>
        <w:t>ossible</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rsidR="00AB4620" w:rsidRDefault="00AB4620" w:rsidP="0098517B">
      <w:pPr>
        <w:pStyle w:val="Heading2"/>
      </w:pPr>
      <w:r>
        <w:t>Data Presentation</w:t>
      </w:r>
    </w:p>
    <w:p w:rsidR="00AB4620" w:rsidRPr="00AB4620" w:rsidRDefault="007C5B09" w:rsidP="007C5B09">
      <w:pPr>
        <w:jc w:val="both"/>
        <w:rPr>
          <w:rFonts w:ascii="Arial" w:hAnsi="Arial" w:cs="Arial"/>
          <w:szCs w:val="24"/>
        </w:rPr>
      </w:pPr>
      <w:r>
        <w:rPr>
          <w:rFonts w:ascii="Arial" w:hAnsi="Arial" w:cs="Arial"/>
          <w:szCs w:val="24"/>
        </w:rPr>
        <w:t>This study is the third release of a comprehensive tax expenditure study by t</w:t>
      </w:r>
      <w:r w:rsidR="00F32710">
        <w:rPr>
          <w:rFonts w:ascii="Arial" w:hAnsi="Arial" w:cs="Arial"/>
          <w:szCs w:val="24"/>
        </w:rPr>
        <w:t xml:space="preserve">he Iowa Department of Revenue. </w:t>
      </w:r>
      <w:r>
        <w:rPr>
          <w:rFonts w:ascii="Arial" w:hAnsi="Arial" w:cs="Arial"/>
          <w:szCs w:val="24"/>
        </w:rPr>
        <w:t xml:space="preserve">To attempt to make the estimates more accessible to the reader, a new format for presenting the results has been employed for the 2010 studies. </w:t>
      </w:r>
      <w:r w:rsidR="00F32710">
        <w:rPr>
          <w:rFonts w:ascii="Arial" w:hAnsi="Arial" w:cs="Arial"/>
          <w:szCs w:val="24"/>
        </w:rPr>
        <w:t>T</w:t>
      </w:r>
      <w:r>
        <w:rPr>
          <w:rFonts w:ascii="Arial" w:hAnsi="Arial" w:cs="Arial"/>
          <w:szCs w:val="24"/>
        </w:rPr>
        <w:t xml:space="preserve">ax expenditures are presented in </w:t>
      </w:r>
      <w:r w:rsidR="00C15D1F">
        <w:rPr>
          <w:rFonts w:ascii="Arial" w:hAnsi="Arial" w:cs="Arial"/>
          <w:szCs w:val="24"/>
        </w:rPr>
        <w:t xml:space="preserve">in two spreadsheets (General Fund tax types and Property Tax) </w:t>
      </w:r>
      <w:r>
        <w:rPr>
          <w:rFonts w:ascii="Arial" w:hAnsi="Arial" w:cs="Arial"/>
          <w:szCs w:val="24"/>
        </w:rPr>
        <w:t>allowing readers to filter and sort estimates based on expenditure type and estimated costs.</w:t>
      </w:r>
      <w:r w:rsidR="00937EFC">
        <w:rPr>
          <w:rFonts w:ascii="Arial" w:hAnsi="Arial" w:cs="Arial"/>
          <w:szCs w:val="24"/>
        </w:rPr>
        <w:t xml:space="preserve"> A description of the fields presented in the spreadsheets is </w:t>
      </w:r>
      <w:r w:rsidR="00937EFC">
        <w:rPr>
          <w:rFonts w:ascii="Arial" w:hAnsi="Arial" w:cs="Arial"/>
          <w:szCs w:val="24"/>
        </w:rPr>
        <w:lastRenderedPageBreak/>
        <w:t>provided on page 4. Historical rates and other information about the various tax types covered in the study are provided on pages 5 through 11.</w:t>
      </w:r>
    </w:p>
    <w:p w:rsidR="0070515C" w:rsidRPr="0098517B" w:rsidRDefault="0070515C" w:rsidP="00937EFC">
      <w:pPr>
        <w:pStyle w:val="Heading2"/>
        <w:spacing w:before="240"/>
      </w:pPr>
      <w:r w:rsidRPr="0098517B">
        <w:t xml:space="preserve">Purpose of the Tax Expenditure Study </w:t>
      </w:r>
    </w:p>
    <w:p w:rsidR="0070515C" w:rsidRPr="001F1486" w:rsidRDefault="002A09C6" w:rsidP="004E54B8">
      <w:pPr>
        <w:pStyle w:val="BodyText3"/>
        <w:spacing w:after="240"/>
        <w:jc w:val="both"/>
        <w:rPr>
          <w:sz w:val="24"/>
          <w:szCs w:val="24"/>
        </w:rPr>
      </w:pPr>
      <w:r w:rsidRPr="001F1486">
        <w:rPr>
          <w:sz w:val="24"/>
          <w:szCs w:val="24"/>
        </w:rPr>
        <w:t>G</w:t>
      </w:r>
      <w:r w:rsidR="0070515C" w:rsidRPr="001F1486">
        <w:rPr>
          <w:sz w:val="24"/>
          <w:szCs w:val="24"/>
        </w:rPr>
        <w:t>overnment programs funded through direct appropriations are subject to per</w:t>
      </w:r>
      <w:r w:rsidR="001239D9" w:rsidRPr="001F1486">
        <w:rPr>
          <w:sz w:val="24"/>
          <w:szCs w:val="24"/>
        </w:rPr>
        <w:t>i</w:t>
      </w:r>
      <w:r w:rsidR="0070515C" w:rsidRPr="001F1486">
        <w:rPr>
          <w:sz w:val="24"/>
          <w:szCs w:val="24"/>
        </w:rPr>
        <w:t>odic review as part of the state budget process</w:t>
      </w:r>
      <w:r w:rsidRPr="001F1486">
        <w:rPr>
          <w:sz w:val="24"/>
          <w:szCs w:val="24"/>
        </w:rPr>
        <w:t>.</w:t>
      </w:r>
      <w:r w:rsidR="004E54B8">
        <w:rPr>
          <w:sz w:val="24"/>
          <w:szCs w:val="24"/>
        </w:rPr>
        <w:t xml:space="preserve"> </w:t>
      </w:r>
      <w:r w:rsidRPr="001F1486">
        <w:rPr>
          <w:sz w:val="24"/>
          <w:szCs w:val="24"/>
        </w:rPr>
        <w:t xml:space="preserve">But </w:t>
      </w:r>
      <w:r w:rsidR="0070515C" w:rsidRPr="001F1486">
        <w:rPr>
          <w:sz w:val="24"/>
          <w:szCs w:val="24"/>
        </w:rPr>
        <w:t>programs funded through special features</w:t>
      </w:r>
      <w:r w:rsidRPr="001F1486">
        <w:rPr>
          <w:sz w:val="24"/>
          <w:szCs w:val="24"/>
        </w:rPr>
        <w:t xml:space="preserve"> of the tax code, such as tax exemptions, tax credits, tax deductions</w:t>
      </w:r>
      <w:r w:rsidR="00DA7A7F" w:rsidRPr="001F1486">
        <w:rPr>
          <w:sz w:val="24"/>
          <w:szCs w:val="24"/>
        </w:rPr>
        <w:t xml:space="preserve">, </w:t>
      </w:r>
      <w:r w:rsidRPr="001F1486">
        <w:rPr>
          <w:sz w:val="24"/>
          <w:szCs w:val="24"/>
        </w:rPr>
        <w:t xml:space="preserve">and </w:t>
      </w:r>
      <w:r w:rsidR="00A728BF" w:rsidRPr="001F1486">
        <w:rPr>
          <w:sz w:val="24"/>
          <w:szCs w:val="24"/>
        </w:rPr>
        <w:t xml:space="preserve">income </w:t>
      </w:r>
      <w:r w:rsidRPr="001F1486">
        <w:rPr>
          <w:sz w:val="24"/>
          <w:szCs w:val="24"/>
        </w:rPr>
        <w:t xml:space="preserve">tax exclusions, </w:t>
      </w:r>
      <w:r w:rsidR="0070515C" w:rsidRPr="001F1486">
        <w:rPr>
          <w:sz w:val="24"/>
          <w:szCs w:val="24"/>
        </w:rPr>
        <w:t>generally escape such examination.</w:t>
      </w:r>
      <w:r w:rsidR="004E54B8">
        <w:rPr>
          <w:sz w:val="24"/>
          <w:szCs w:val="24"/>
        </w:rPr>
        <w:t xml:space="preserve"> </w:t>
      </w:r>
      <w:r w:rsidR="0070515C" w:rsidRPr="001F1486">
        <w:rPr>
          <w:sz w:val="24"/>
          <w:szCs w:val="24"/>
        </w:rPr>
        <w:t>Th</w:t>
      </w:r>
      <w:r w:rsidRPr="001F1486">
        <w:rPr>
          <w:sz w:val="24"/>
          <w:szCs w:val="24"/>
        </w:rPr>
        <w:t>erefore</w:t>
      </w:r>
      <w:r w:rsidR="0070515C" w:rsidRPr="001F1486">
        <w:rPr>
          <w:sz w:val="24"/>
          <w:szCs w:val="24"/>
        </w:rPr>
        <w:t xml:space="preserve">, this study is intended to </w:t>
      </w:r>
      <w:r w:rsidRPr="001F1486">
        <w:rPr>
          <w:sz w:val="24"/>
          <w:szCs w:val="24"/>
        </w:rPr>
        <w:t xml:space="preserve">provide more information about these features of the </w:t>
      </w:r>
      <w:r w:rsidR="00DA7A7F" w:rsidRPr="001F1486">
        <w:rPr>
          <w:sz w:val="24"/>
          <w:szCs w:val="24"/>
        </w:rPr>
        <w:t xml:space="preserve">Iowa </w:t>
      </w:r>
      <w:r w:rsidRPr="001F1486">
        <w:rPr>
          <w:sz w:val="24"/>
          <w:szCs w:val="24"/>
        </w:rPr>
        <w:t xml:space="preserve">tax </w:t>
      </w:r>
      <w:r w:rsidR="00DA7A7F" w:rsidRPr="001F1486">
        <w:rPr>
          <w:sz w:val="24"/>
          <w:szCs w:val="24"/>
        </w:rPr>
        <w:t>statutes</w:t>
      </w:r>
      <w:r w:rsidRPr="001F1486">
        <w:rPr>
          <w:sz w:val="24"/>
          <w:szCs w:val="24"/>
        </w:rPr>
        <w:t xml:space="preserve"> and to </w:t>
      </w:r>
      <w:r w:rsidR="0070515C" w:rsidRPr="001F1486">
        <w:rPr>
          <w:sz w:val="24"/>
          <w:szCs w:val="24"/>
        </w:rPr>
        <w:t xml:space="preserve">improve government accountability. </w:t>
      </w:r>
    </w:p>
    <w:p w:rsidR="00FC62F1" w:rsidRPr="001F1486" w:rsidRDefault="00CA176E" w:rsidP="004E54B8">
      <w:pPr>
        <w:spacing w:after="240"/>
        <w:jc w:val="both"/>
        <w:rPr>
          <w:rFonts w:ascii="Arial" w:hAnsi="Arial" w:cs="Arial"/>
          <w:snapToGrid w:val="0"/>
          <w:color w:val="000000"/>
          <w:szCs w:val="24"/>
        </w:rPr>
      </w:pPr>
      <w:r w:rsidRPr="001F1486">
        <w:rPr>
          <w:rFonts w:ascii="Arial" w:hAnsi="Arial" w:cs="Arial"/>
          <w:szCs w:val="24"/>
        </w:rPr>
        <w:t xml:space="preserve">The estimates </w:t>
      </w:r>
      <w:r w:rsidR="00ED61ED" w:rsidRPr="001F1486">
        <w:rPr>
          <w:rFonts w:ascii="Arial" w:hAnsi="Arial" w:cs="Arial"/>
          <w:szCs w:val="24"/>
        </w:rPr>
        <w:t xml:space="preserve">presented </w:t>
      </w:r>
      <w:r w:rsidR="00AB7832" w:rsidRPr="001F1486">
        <w:rPr>
          <w:rFonts w:ascii="Arial" w:hAnsi="Arial" w:cs="Arial"/>
          <w:szCs w:val="24"/>
        </w:rPr>
        <w:t>in</w:t>
      </w:r>
      <w:r w:rsidR="00ED61ED" w:rsidRPr="001F1486">
        <w:rPr>
          <w:rFonts w:ascii="Arial" w:hAnsi="Arial" w:cs="Arial"/>
          <w:szCs w:val="24"/>
        </w:rPr>
        <w:t xml:space="preserve"> this study</w:t>
      </w:r>
      <w:r w:rsidRPr="001F1486">
        <w:rPr>
          <w:rFonts w:ascii="Arial" w:hAnsi="Arial" w:cs="Arial"/>
          <w:szCs w:val="24"/>
        </w:rPr>
        <w:t xml:space="preserve"> </w:t>
      </w:r>
      <w:r w:rsidR="00635D83" w:rsidRPr="001F1486">
        <w:rPr>
          <w:rFonts w:ascii="Arial" w:hAnsi="Arial" w:cs="Arial"/>
          <w:szCs w:val="24"/>
        </w:rPr>
        <w:t>are for taxable events occurring in calendar year 20</w:t>
      </w:r>
      <w:r w:rsidR="00ED61ED" w:rsidRPr="001F1486">
        <w:rPr>
          <w:rFonts w:ascii="Arial" w:hAnsi="Arial" w:cs="Arial"/>
          <w:szCs w:val="24"/>
        </w:rPr>
        <w:t>10</w:t>
      </w:r>
      <w:r w:rsidR="00635D83" w:rsidRPr="001F1486">
        <w:rPr>
          <w:rFonts w:ascii="Arial" w:hAnsi="Arial" w:cs="Arial"/>
          <w:szCs w:val="24"/>
        </w:rPr>
        <w:t xml:space="preserve"> and are based upon the most recent data available adjusted to reflect the levels of activity in 20</w:t>
      </w:r>
      <w:r w:rsidR="00ED61ED" w:rsidRPr="001F1486">
        <w:rPr>
          <w:rFonts w:ascii="Arial" w:hAnsi="Arial" w:cs="Arial"/>
          <w:szCs w:val="24"/>
        </w:rPr>
        <w:t>1</w:t>
      </w:r>
      <w:r w:rsidR="00635D83" w:rsidRPr="001F1486">
        <w:rPr>
          <w:rFonts w:ascii="Arial" w:hAnsi="Arial" w:cs="Arial"/>
          <w:szCs w:val="24"/>
        </w:rPr>
        <w:t>0</w:t>
      </w:r>
      <w:r w:rsidR="00DA7A7F" w:rsidRPr="001F1486">
        <w:rPr>
          <w:rFonts w:ascii="Arial" w:hAnsi="Arial" w:cs="Arial"/>
          <w:szCs w:val="24"/>
        </w:rPr>
        <w:t>, if necessary</w:t>
      </w:r>
      <w:r w:rsidR="00635D83" w:rsidRPr="001F1486">
        <w:rPr>
          <w:rFonts w:ascii="Arial" w:hAnsi="Arial" w:cs="Arial"/>
          <w:szCs w:val="24"/>
        </w:rPr>
        <w:t>.</w:t>
      </w:r>
      <w:r w:rsidR="004E54B8">
        <w:rPr>
          <w:rFonts w:ascii="Arial" w:hAnsi="Arial" w:cs="Arial"/>
          <w:szCs w:val="24"/>
        </w:rPr>
        <w:t xml:space="preserve"> </w:t>
      </w:r>
      <w:r w:rsidR="00635D83" w:rsidRPr="001F1486">
        <w:rPr>
          <w:rFonts w:ascii="Arial" w:hAnsi="Arial" w:cs="Arial"/>
          <w:szCs w:val="24"/>
        </w:rPr>
        <w:t xml:space="preserve">It </w:t>
      </w:r>
      <w:r w:rsidR="005B605C" w:rsidRPr="001F1486">
        <w:rPr>
          <w:rFonts w:ascii="Arial" w:hAnsi="Arial" w:cs="Arial"/>
          <w:szCs w:val="24"/>
        </w:rPr>
        <w:t>is</w:t>
      </w:r>
      <w:r w:rsidR="00635D83" w:rsidRPr="001F1486">
        <w:rPr>
          <w:rFonts w:ascii="Arial" w:hAnsi="Arial" w:cs="Arial"/>
          <w:szCs w:val="24"/>
        </w:rPr>
        <w:t xml:space="preserve"> noted when estimates have been calculated</w:t>
      </w:r>
      <w:r w:rsidR="00FC62F1" w:rsidRPr="001F1486">
        <w:rPr>
          <w:rFonts w:ascii="Arial" w:hAnsi="Arial" w:cs="Arial"/>
          <w:szCs w:val="24"/>
        </w:rPr>
        <w:t xml:space="preserve"> for other periods.</w:t>
      </w:r>
      <w:r w:rsidR="004E54B8">
        <w:rPr>
          <w:rFonts w:ascii="Arial" w:hAnsi="Arial" w:cs="Arial"/>
          <w:szCs w:val="24"/>
        </w:rPr>
        <w:t xml:space="preserve"> </w:t>
      </w:r>
      <w:r w:rsidR="00FC62F1" w:rsidRPr="001F1486">
        <w:rPr>
          <w:rFonts w:ascii="Arial" w:hAnsi="Arial" w:cs="Arial"/>
          <w:szCs w:val="24"/>
        </w:rPr>
        <w:t xml:space="preserve">The estimates are based </w:t>
      </w:r>
      <w:r w:rsidRPr="001F1486">
        <w:rPr>
          <w:rFonts w:ascii="Arial" w:hAnsi="Arial" w:cs="Arial"/>
          <w:szCs w:val="24"/>
        </w:rPr>
        <w:t xml:space="preserve">only </w:t>
      </w:r>
      <w:r w:rsidR="00FC62F1" w:rsidRPr="001F1486">
        <w:rPr>
          <w:rFonts w:ascii="Arial" w:hAnsi="Arial" w:cs="Arial"/>
          <w:szCs w:val="24"/>
        </w:rPr>
        <w:t>upon the impact on receipts of the State of Iowa and only upon receipts going into the General Fund.</w:t>
      </w:r>
      <w:r w:rsidR="004E54B8">
        <w:rPr>
          <w:rFonts w:ascii="Arial" w:hAnsi="Arial" w:cs="Arial"/>
          <w:szCs w:val="24"/>
        </w:rPr>
        <w:t xml:space="preserve"> </w:t>
      </w:r>
      <w:r w:rsidR="00FC62F1" w:rsidRPr="001F1486">
        <w:rPr>
          <w:rFonts w:ascii="Arial" w:hAnsi="Arial" w:cs="Arial"/>
          <w:szCs w:val="24"/>
        </w:rPr>
        <w:t xml:space="preserve">Impacts on local option income surtaxes or local option </w:t>
      </w:r>
      <w:r w:rsidR="00A728BF" w:rsidRPr="001F1486">
        <w:rPr>
          <w:rFonts w:ascii="Arial" w:hAnsi="Arial" w:cs="Arial"/>
          <w:szCs w:val="24"/>
        </w:rPr>
        <w:t>sales taxes are not estimated.</w:t>
      </w:r>
      <w:r w:rsidR="004E54B8">
        <w:rPr>
          <w:rFonts w:ascii="Arial" w:hAnsi="Arial" w:cs="Arial"/>
          <w:szCs w:val="24"/>
        </w:rPr>
        <w:t xml:space="preserve"> </w:t>
      </w:r>
      <w:r w:rsidR="00FC62F1" w:rsidRPr="001F1486">
        <w:rPr>
          <w:rFonts w:ascii="Arial" w:hAnsi="Arial" w:cs="Arial"/>
          <w:snapToGrid w:val="0"/>
          <w:color w:val="000000"/>
          <w:szCs w:val="24"/>
        </w:rPr>
        <w:t xml:space="preserve">For this </w:t>
      </w:r>
      <w:r w:rsidR="00956406">
        <w:rPr>
          <w:rFonts w:ascii="Arial" w:hAnsi="Arial" w:cs="Arial"/>
          <w:snapToGrid w:val="0"/>
          <w:color w:val="000000"/>
          <w:szCs w:val="24"/>
        </w:rPr>
        <w:t>preliminary release of the study</w:t>
      </w:r>
      <w:r w:rsidR="00FC62F1" w:rsidRPr="001F1486">
        <w:rPr>
          <w:rFonts w:ascii="Arial" w:hAnsi="Arial" w:cs="Arial"/>
          <w:snapToGrid w:val="0"/>
          <w:color w:val="000000"/>
          <w:szCs w:val="24"/>
        </w:rPr>
        <w:t>, tax expenditures are limited to those related to sales and use taxes</w:t>
      </w:r>
      <w:r w:rsidR="00185A10">
        <w:rPr>
          <w:rFonts w:ascii="Arial" w:hAnsi="Arial" w:cs="Arial"/>
          <w:snapToGrid w:val="0"/>
          <w:color w:val="000000"/>
          <w:szCs w:val="24"/>
        </w:rPr>
        <w:t xml:space="preserve">, </w:t>
      </w:r>
      <w:r w:rsidR="00956406">
        <w:rPr>
          <w:rFonts w:ascii="Arial" w:hAnsi="Arial" w:cs="Arial"/>
          <w:snapToGrid w:val="0"/>
          <w:color w:val="000000"/>
          <w:szCs w:val="24"/>
        </w:rPr>
        <w:t>property taxes</w:t>
      </w:r>
      <w:r w:rsidR="00185A10">
        <w:rPr>
          <w:rFonts w:ascii="Arial" w:hAnsi="Arial" w:cs="Arial"/>
          <w:snapToGrid w:val="0"/>
          <w:color w:val="000000"/>
          <w:szCs w:val="24"/>
        </w:rPr>
        <w:t>, and tax credits</w:t>
      </w:r>
      <w:r w:rsidR="00FC62F1" w:rsidRPr="001F1486">
        <w:rPr>
          <w:rFonts w:ascii="Arial" w:hAnsi="Arial" w:cs="Arial"/>
          <w:snapToGrid w:val="0"/>
          <w:color w:val="000000"/>
          <w:szCs w:val="24"/>
        </w:rPr>
        <w:t>.</w:t>
      </w:r>
      <w:r w:rsidR="004E54B8">
        <w:rPr>
          <w:rFonts w:ascii="Arial" w:hAnsi="Arial" w:cs="Arial"/>
          <w:snapToGrid w:val="0"/>
          <w:color w:val="000000"/>
          <w:szCs w:val="24"/>
        </w:rPr>
        <w:t xml:space="preserve"> </w:t>
      </w:r>
    </w:p>
    <w:p w:rsidR="00FC62F1" w:rsidRPr="0022122C" w:rsidRDefault="00FC62F1" w:rsidP="004E54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jc w:val="both"/>
        <w:rPr>
          <w:rFonts w:ascii="Arial" w:hAnsi="Arial" w:cs="Arial"/>
          <w:b/>
          <w:snapToGrid w:val="0"/>
          <w:color w:val="000000"/>
          <w:szCs w:val="24"/>
        </w:rPr>
      </w:pPr>
      <w:r w:rsidRPr="0022122C">
        <w:rPr>
          <w:rFonts w:ascii="Arial" w:hAnsi="Arial" w:cs="Arial"/>
          <w:b/>
          <w:snapToGrid w:val="0"/>
          <w:color w:val="000000"/>
          <w:szCs w:val="24"/>
        </w:rPr>
        <w:t xml:space="preserve">Definition of </w:t>
      </w:r>
      <w:r w:rsidR="00A735CD" w:rsidRPr="0022122C">
        <w:rPr>
          <w:rFonts w:ascii="Arial" w:hAnsi="Arial" w:cs="Arial"/>
          <w:b/>
          <w:snapToGrid w:val="0"/>
          <w:color w:val="000000"/>
          <w:szCs w:val="24"/>
        </w:rPr>
        <w:t>Tax</w:t>
      </w:r>
      <w:r w:rsidRPr="0022122C">
        <w:rPr>
          <w:rFonts w:ascii="Arial" w:hAnsi="Arial" w:cs="Arial"/>
          <w:b/>
          <w:snapToGrid w:val="0"/>
          <w:color w:val="000000"/>
          <w:szCs w:val="24"/>
        </w:rPr>
        <w:t xml:space="preserve"> Expenditure</w:t>
      </w:r>
    </w:p>
    <w:p w:rsidR="00596ED6" w:rsidRPr="001F1486" w:rsidRDefault="00F76895" w:rsidP="004E54B8">
      <w:pPr>
        <w:spacing w:after="240"/>
        <w:jc w:val="both"/>
        <w:rPr>
          <w:rFonts w:ascii="Arial" w:hAnsi="Arial" w:cs="Arial"/>
          <w:szCs w:val="24"/>
        </w:rPr>
      </w:pPr>
      <w:r w:rsidRPr="001F1486">
        <w:rPr>
          <w:rFonts w:ascii="Arial" w:hAnsi="Arial" w:cs="Arial"/>
          <w:szCs w:val="24"/>
        </w:rPr>
        <w:t>A t</w:t>
      </w:r>
      <w:r w:rsidR="00EE2A12" w:rsidRPr="001F1486">
        <w:rPr>
          <w:rFonts w:ascii="Arial" w:hAnsi="Arial" w:cs="Arial"/>
          <w:szCs w:val="24"/>
        </w:rPr>
        <w:t>ax</w:t>
      </w:r>
      <w:r w:rsidR="00596ED6" w:rsidRPr="001F1486">
        <w:rPr>
          <w:rFonts w:ascii="Arial" w:hAnsi="Arial" w:cs="Arial"/>
          <w:szCs w:val="24"/>
        </w:rPr>
        <w:t xml:space="preserve"> expenditure </w:t>
      </w:r>
      <w:r w:rsidRPr="001F1486">
        <w:rPr>
          <w:rFonts w:ascii="Arial" w:hAnsi="Arial" w:cs="Arial"/>
          <w:szCs w:val="24"/>
        </w:rPr>
        <w:t>is</w:t>
      </w:r>
      <w:r w:rsidR="00596ED6" w:rsidRPr="001F1486">
        <w:rPr>
          <w:rFonts w:ascii="Arial" w:hAnsi="Arial" w:cs="Arial"/>
          <w:szCs w:val="24"/>
        </w:rPr>
        <w:t xml:space="preserve"> </w:t>
      </w:r>
      <w:r w:rsidR="00EE2A12" w:rsidRPr="001F1486">
        <w:rPr>
          <w:rFonts w:ascii="Arial" w:hAnsi="Arial" w:cs="Arial"/>
          <w:szCs w:val="24"/>
        </w:rPr>
        <w:t xml:space="preserve">any </w:t>
      </w:r>
      <w:r w:rsidR="00596ED6" w:rsidRPr="001F1486">
        <w:rPr>
          <w:rFonts w:ascii="Arial" w:hAnsi="Arial" w:cs="Arial"/>
          <w:szCs w:val="24"/>
        </w:rPr>
        <w:t xml:space="preserve">exemption, </w:t>
      </w:r>
      <w:r w:rsidR="00EE2A12" w:rsidRPr="001F1486">
        <w:rPr>
          <w:rFonts w:ascii="Arial" w:hAnsi="Arial" w:cs="Arial"/>
          <w:szCs w:val="24"/>
        </w:rPr>
        <w:t xml:space="preserve">credit, </w:t>
      </w:r>
      <w:r w:rsidRPr="001F1486">
        <w:rPr>
          <w:rFonts w:ascii="Arial" w:hAnsi="Arial" w:cs="Arial"/>
          <w:szCs w:val="24"/>
        </w:rPr>
        <w:t>deduction</w:t>
      </w:r>
      <w:r w:rsidR="00DA7A7F" w:rsidRPr="001F1486">
        <w:rPr>
          <w:rFonts w:ascii="Arial" w:hAnsi="Arial" w:cs="Arial"/>
          <w:szCs w:val="24"/>
        </w:rPr>
        <w:t>,</w:t>
      </w:r>
      <w:r w:rsidR="00EE2A12" w:rsidRPr="001F1486">
        <w:rPr>
          <w:rFonts w:ascii="Arial" w:hAnsi="Arial" w:cs="Arial"/>
          <w:szCs w:val="24"/>
        </w:rPr>
        <w:t xml:space="preserve"> or </w:t>
      </w:r>
      <w:r w:rsidR="00596ED6" w:rsidRPr="001F1486">
        <w:rPr>
          <w:rFonts w:ascii="Arial" w:hAnsi="Arial" w:cs="Arial"/>
          <w:szCs w:val="24"/>
        </w:rPr>
        <w:t>exclusion</w:t>
      </w:r>
      <w:r w:rsidR="00EE2A12" w:rsidRPr="001F1486">
        <w:rPr>
          <w:rFonts w:ascii="Arial" w:hAnsi="Arial" w:cs="Arial"/>
          <w:szCs w:val="24"/>
        </w:rPr>
        <w:t xml:space="preserve"> from the </w:t>
      </w:r>
      <w:r w:rsidRPr="001F1486">
        <w:rPr>
          <w:rFonts w:ascii="Arial" w:hAnsi="Arial" w:cs="Arial"/>
          <w:szCs w:val="24"/>
        </w:rPr>
        <w:t>tax base that is</w:t>
      </w:r>
      <w:r w:rsidR="00596ED6" w:rsidRPr="001F1486">
        <w:rPr>
          <w:rFonts w:ascii="Arial" w:hAnsi="Arial" w:cs="Arial"/>
          <w:szCs w:val="24"/>
        </w:rPr>
        <w:t xml:space="preserve"> tied to </w:t>
      </w:r>
      <w:r w:rsidRPr="001F1486">
        <w:rPr>
          <w:rFonts w:ascii="Arial" w:hAnsi="Arial" w:cs="Arial"/>
          <w:szCs w:val="24"/>
        </w:rPr>
        <w:t xml:space="preserve">a </w:t>
      </w:r>
      <w:r w:rsidR="00596ED6" w:rsidRPr="001F1486">
        <w:rPr>
          <w:rFonts w:ascii="Arial" w:hAnsi="Arial" w:cs="Arial"/>
          <w:szCs w:val="24"/>
        </w:rPr>
        <w:t>specific provision in tax law.</w:t>
      </w:r>
      <w:r w:rsidR="004E54B8">
        <w:rPr>
          <w:rFonts w:ascii="Arial" w:hAnsi="Arial" w:cs="Arial"/>
          <w:szCs w:val="24"/>
        </w:rPr>
        <w:t xml:space="preserve"> </w:t>
      </w:r>
      <w:r w:rsidRPr="001F1486">
        <w:rPr>
          <w:rFonts w:ascii="Arial" w:hAnsi="Arial" w:cs="Arial"/>
          <w:szCs w:val="24"/>
        </w:rPr>
        <w:t>A t</w:t>
      </w:r>
      <w:r w:rsidR="00EE2A12" w:rsidRPr="001F1486">
        <w:rPr>
          <w:rFonts w:ascii="Arial" w:hAnsi="Arial" w:cs="Arial"/>
          <w:szCs w:val="24"/>
        </w:rPr>
        <w:t xml:space="preserve">ax expenditure </w:t>
      </w:r>
      <w:r w:rsidRPr="001F1486">
        <w:rPr>
          <w:rFonts w:ascii="Arial" w:hAnsi="Arial" w:cs="Arial"/>
          <w:szCs w:val="24"/>
        </w:rPr>
        <w:t>is</w:t>
      </w:r>
      <w:r w:rsidR="00EE2A12" w:rsidRPr="001F1486">
        <w:rPr>
          <w:rFonts w:ascii="Arial" w:hAnsi="Arial" w:cs="Arial"/>
          <w:szCs w:val="24"/>
        </w:rPr>
        <w:t xml:space="preserve"> generally understood to be</w:t>
      </w:r>
      <w:r w:rsidRPr="001F1486">
        <w:rPr>
          <w:rFonts w:ascii="Arial" w:hAnsi="Arial" w:cs="Arial"/>
          <w:szCs w:val="24"/>
        </w:rPr>
        <w:t xml:space="preserve"> a</w:t>
      </w:r>
      <w:r w:rsidR="00EE2A12" w:rsidRPr="001F1486">
        <w:rPr>
          <w:rFonts w:ascii="Arial" w:hAnsi="Arial" w:cs="Arial"/>
          <w:szCs w:val="24"/>
        </w:rPr>
        <w:t xml:space="preserve"> preferential provision in </w:t>
      </w:r>
      <w:r w:rsidRPr="001F1486">
        <w:rPr>
          <w:rFonts w:ascii="Arial" w:hAnsi="Arial" w:cs="Arial"/>
          <w:szCs w:val="24"/>
        </w:rPr>
        <w:t xml:space="preserve">the </w:t>
      </w:r>
      <w:r w:rsidR="00EE2A12" w:rsidRPr="001F1486">
        <w:rPr>
          <w:rFonts w:ascii="Arial" w:hAnsi="Arial" w:cs="Arial"/>
          <w:szCs w:val="24"/>
        </w:rPr>
        <w:t>tax law that produce</w:t>
      </w:r>
      <w:r w:rsidRPr="001F1486">
        <w:rPr>
          <w:rFonts w:ascii="Arial" w:hAnsi="Arial" w:cs="Arial"/>
          <w:szCs w:val="24"/>
        </w:rPr>
        <w:t>s</w:t>
      </w:r>
      <w:r w:rsidR="00EE2A12" w:rsidRPr="001F1486">
        <w:rPr>
          <w:rFonts w:ascii="Arial" w:hAnsi="Arial" w:cs="Arial"/>
          <w:szCs w:val="24"/>
        </w:rPr>
        <w:t xml:space="preserve"> </w:t>
      </w:r>
      <w:r w:rsidRPr="001F1486">
        <w:rPr>
          <w:rFonts w:ascii="Arial" w:hAnsi="Arial" w:cs="Arial"/>
          <w:szCs w:val="24"/>
        </w:rPr>
        <w:t xml:space="preserve">a </w:t>
      </w:r>
      <w:r w:rsidR="00EE2A12" w:rsidRPr="001F1486">
        <w:rPr>
          <w:rFonts w:ascii="Arial" w:hAnsi="Arial" w:cs="Arial"/>
          <w:szCs w:val="24"/>
        </w:rPr>
        <w:t>reduction in tax from that which would be imposed without the provision.</w:t>
      </w:r>
      <w:r w:rsidR="004E54B8">
        <w:rPr>
          <w:rFonts w:ascii="Arial" w:hAnsi="Arial" w:cs="Arial"/>
          <w:szCs w:val="24"/>
        </w:rPr>
        <w:t xml:space="preserve"> </w:t>
      </w:r>
      <w:r w:rsidRPr="001F1486">
        <w:rPr>
          <w:rFonts w:ascii="Arial" w:hAnsi="Arial" w:cs="Arial"/>
          <w:szCs w:val="24"/>
        </w:rPr>
        <w:t>In addition, tax expenditures are generally targeted to a limited group of taxpayers.</w:t>
      </w:r>
      <w:r w:rsidR="004E54B8">
        <w:rPr>
          <w:rFonts w:ascii="Arial" w:hAnsi="Arial" w:cs="Arial"/>
          <w:szCs w:val="24"/>
        </w:rPr>
        <w:t xml:space="preserve"> </w:t>
      </w:r>
      <w:r w:rsidRPr="001F1486">
        <w:rPr>
          <w:rFonts w:ascii="Arial" w:hAnsi="Arial" w:cs="Arial"/>
          <w:szCs w:val="24"/>
        </w:rPr>
        <w:t>T</w:t>
      </w:r>
      <w:r w:rsidR="00596ED6" w:rsidRPr="001F1486">
        <w:rPr>
          <w:rFonts w:ascii="Arial" w:hAnsi="Arial" w:cs="Arial"/>
          <w:szCs w:val="24"/>
        </w:rPr>
        <w:t xml:space="preserve">he basis of this </w:t>
      </w:r>
      <w:r w:rsidR="00956406">
        <w:rPr>
          <w:rFonts w:ascii="Arial" w:hAnsi="Arial" w:cs="Arial"/>
          <w:szCs w:val="24"/>
        </w:rPr>
        <w:t>study</w:t>
      </w:r>
      <w:r w:rsidR="00596ED6" w:rsidRPr="001F1486">
        <w:rPr>
          <w:rFonts w:ascii="Arial" w:hAnsi="Arial" w:cs="Arial"/>
          <w:szCs w:val="24"/>
        </w:rPr>
        <w:t xml:space="preserve"> is </w:t>
      </w:r>
      <w:r w:rsidR="00A728BF" w:rsidRPr="001F1486">
        <w:rPr>
          <w:rFonts w:ascii="Arial" w:hAnsi="Arial" w:cs="Arial"/>
          <w:szCs w:val="24"/>
        </w:rPr>
        <w:t xml:space="preserve">to </w:t>
      </w:r>
      <w:r w:rsidR="00596ED6" w:rsidRPr="001F1486">
        <w:rPr>
          <w:rFonts w:ascii="Arial" w:hAnsi="Arial" w:cs="Arial"/>
          <w:szCs w:val="24"/>
        </w:rPr>
        <w:t>identif</w:t>
      </w:r>
      <w:r w:rsidR="00E022B9" w:rsidRPr="001F1486">
        <w:rPr>
          <w:rFonts w:ascii="Arial" w:hAnsi="Arial" w:cs="Arial"/>
          <w:szCs w:val="24"/>
        </w:rPr>
        <w:t>y</w:t>
      </w:r>
      <w:r w:rsidR="00596ED6" w:rsidRPr="001F1486">
        <w:rPr>
          <w:rFonts w:ascii="Arial" w:hAnsi="Arial" w:cs="Arial"/>
          <w:szCs w:val="24"/>
        </w:rPr>
        <w:t xml:space="preserve"> provisions in Iowa law and estimat</w:t>
      </w:r>
      <w:r w:rsidR="00A728BF" w:rsidRPr="001F1486">
        <w:rPr>
          <w:rFonts w:ascii="Arial" w:hAnsi="Arial" w:cs="Arial"/>
          <w:szCs w:val="24"/>
        </w:rPr>
        <w:t>e</w:t>
      </w:r>
      <w:r w:rsidR="00596ED6" w:rsidRPr="001F1486">
        <w:rPr>
          <w:rFonts w:ascii="Arial" w:hAnsi="Arial" w:cs="Arial"/>
          <w:szCs w:val="24"/>
        </w:rPr>
        <w:t xml:space="preserve"> the </w:t>
      </w:r>
      <w:r w:rsidR="00E022B9" w:rsidRPr="001F1486">
        <w:rPr>
          <w:rFonts w:ascii="Arial" w:hAnsi="Arial" w:cs="Arial"/>
          <w:szCs w:val="24"/>
        </w:rPr>
        <w:t xml:space="preserve">impact to the General Fund of </w:t>
      </w:r>
      <w:r w:rsidR="00596ED6" w:rsidRPr="001F1486">
        <w:rPr>
          <w:rFonts w:ascii="Arial" w:hAnsi="Arial" w:cs="Arial"/>
          <w:szCs w:val="24"/>
        </w:rPr>
        <w:t>each of the provisions that satisfy th</w:t>
      </w:r>
      <w:r w:rsidR="00A728BF" w:rsidRPr="001F1486">
        <w:rPr>
          <w:rFonts w:ascii="Arial" w:hAnsi="Arial" w:cs="Arial"/>
          <w:szCs w:val="24"/>
        </w:rPr>
        <w:t>e</w:t>
      </w:r>
      <w:r w:rsidR="00596ED6" w:rsidRPr="001F1486">
        <w:rPr>
          <w:rFonts w:ascii="Arial" w:hAnsi="Arial" w:cs="Arial"/>
          <w:szCs w:val="24"/>
        </w:rPr>
        <w:t xml:space="preserve"> definition</w:t>
      </w:r>
      <w:r w:rsidR="00A728BF" w:rsidRPr="001F1486">
        <w:rPr>
          <w:rFonts w:ascii="Arial" w:hAnsi="Arial" w:cs="Arial"/>
          <w:szCs w:val="24"/>
        </w:rPr>
        <w:t xml:space="preserve"> of a tax expenditure</w:t>
      </w:r>
      <w:r w:rsidR="00596ED6" w:rsidRPr="001F1486">
        <w:rPr>
          <w:rFonts w:ascii="Arial" w:hAnsi="Arial" w:cs="Arial"/>
          <w:szCs w:val="24"/>
        </w:rPr>
        <w:t>.</w:t>
      </w:r>
    </w:p>
    <w:p w:rsidR="002A6EB5" w:rsidRPr="001F1486" w:rsidRDefault="00596ED6" w:rsidP="004E54B8">
      <w:pPr>
        <w:spacing w:after="240"/>
        <w:jc w:val="both"/>
        <w:rPr>
          <w:rFonts w:ascii="Arial" w:hAnsi="Arial" w:cs="Arial"/>
          <w:szCs w:val="24"/>
        </w:rPr>
      </w:pPr>
      <w:r w:rsidRPr="001F1486">
        <w:rPr>
          <w:rFonts w:ascii="Arial" w:hAnsi="Arial" w:cs="Arial"/>
          <w:szCs w:val="24"/>
        </w:rPr>
        <w:t xml:space="preserve">Tax expenditures are </w:t>
      </w:r>
      <w:r w:rsidR="002A6EB5" w:rsidRPr="001F1486">
        <w:rPr>
          <w:rFonts w:ascii="Arial" w:hAnsi="Arial" w:cs="Arial"/>
          <w:szCs w:val="24"/>
        </w:rPr>
        <w:t xml:space="preserve">in general </w:t>
      </w:r>
      <w:r w:rsidRPr="001F1486">
        <w:rPr>
          <w:rFonts w:ascii="Arial" w:hAnsi="Arial" w:cs="Arial"/>
          <w:szCs w:val="24"/>
        </w:rPr>
        <w:t>not appropriations</w:t>
      </w:r>
      <w:r w:rsidR="00CA176E" w:rsidRPr="001F1486">
        <w:rPr>
          <w:rFonts w:ascii="Arial" w:hAnsi="Arial" w:cs="Arial"/>
          <w:szCs w:val="24"/>
        </w:rPr>
        <w:t>, but</w:t>
      </w:r>
      <w:r w:rsidR="00E022B9" w:rsidRPr="001F1486">
        <w:rPr>
          <w:rFonts w:ascii="Arial" w:hAnsi="Arial" w:cs="Arial"/>
          <w:szCs w:val="24"/>
        </w:rPr>
        <w:t xml:space="preserve"> can be viewed as an alternative to direct government appropriations.</w:t>
      </w:r>
      <w:r w:rsidR="004E54B8">
        <w:rPr>
          <w:rFonts w:ascii="Arial" w:hAnsi="Arial" w:cs="Arial"/>
          <w:szCs w:val="24"/>
        </w:rPr>
        <w:t xml:space="preserve"> </w:t>
      </w:r>
      <w:r w:rsidR="002A6EB5" w:rsidRPr="001F1486">
        <w:rPr>
          <w:rFonts w:ascii="Arial" w:hAnsi="Arial" w:cs="Arial"/>
          <w:szCs w:val="24"/>
        </w:rPr>
        <w:t>However, some property tax expenditures are directly funded by State of Iowa appropriations.</w:t>
      </w:r>
      <w:r w:rsidR="004E54B8">
        <w:rPr>
          <w:rFonts w:ascii="Arial" w:hAnsi="Arial" w:cs="Arial"/>
          <w:szCs w:val="24"/>
        </w:rPr>
        <w:t xml:space="preserve"> </w:t>
      </w:r>
      <w:r w:rsidR="002A6EB5" w:rsidRPr="001F1486">
        <w:rPr>
          <w:rFonts w:ascii="Arial" w:hAnsi="Arial" w:cs="Arial"/>
          <w:szCs w:val="24"/>
        </w:rPr>
        <w:t xml:space="preserve">The funding may be </w:t>
      </w:r>
      <w:r w:rsidR="00065BB0">
        <w:rPr>
          <w:rFonts w:ascii="Arial" w:hAnsi="Arial" w:cs="Arial"/>
          <w:szCs w:val="24"/>
        </w:rPr>
        <w:t xml:space="preserve">distributed </w:t>
      </w:r>
      <w:r w:rsidR="002A6EB5" w:rsidRPr="001F1486">
        <w:rPr>
          <w:rFonts w:ascii="Arial" w:hAnsi="Arial" w:cs="Arial"/>
          <w:szCs w:val="24"/>
        </w:rPr>
        <w:t xml:space="preserve">to local governments or to individuals. </w:t>
      </w:r>
      <w:r w:rsidRPr="001F1486">
        <w:rPr>
          <w:rFonts w:ascii="Arial" w:hAnsi="Arial" w:cs="Arial"/>
          <w:szCs w:val="24"/>
        </w:rPr>
        <w:t xml:space="preserve">Although tax expenditures allocate resources for specific public purposes like appropriations, they achieve policy goals indirectly by changing </w:t>
      </w:r>
      <w:r w:rsidR="00EE2A12" w:rsidRPr="001F1486">
        <w:rPr>
          <w:rFonts w:ascii="Arial" w:hAnsi="Arial" w:cs="Arial"/>
          <w:szCs w:val="24"/>
        </w:rPr>
        <w:t xml:space="preserve">the </w:t>
      </w:r>
      <w:r w:rsidRPr="001F1486">
        <w:rPr>
          <w:rFonts w:ascii="Arial" w:hAnsi="Arial" w:cs="Arial"/>
          <w:szCs w:val="24"/>
        </w:rPr>
        <w:t xml:space="preserve">cost of </w:t>
      </w:r>
      <w:r w:rsidR="00E022B9" w:rsidRPr="001F1486">
        <w:rPr>
          <w:rFonts w:ascii="Arial" w:hAnsi="Arial" w:cs="Arial"/>
          <w:szCs w:val="24"/>
        </w:rPr>
        <w:t xml:space="preserve">a </w:t>
      </w:r>
      <w:r w:rsidR="002A6EB5" w:rsidRPr="001F1486">
        <w:rPr>
          <w:rFonts w:ascii="Arial" w:hAnsi="Arial" w:cs="Arial"/>
          <w:szCs w:val="24"/>
        </w:rPr>
        <w:t>particular action.</w:t>
      </w:r>
    </w:p>
    <w:p w:rsidR="00596ED6" w:rsidRPr="001F1486" w:rsidRDefault="00A728BF" w:rsidP="004E54B8">
      <w:pPr>
        <w:spacing w:after="240"/>
        <w:jc w:val="both"/>
        <w:rPr>
          <w:rFonts w:ascii="Arial" w:hAnsi="Arial" w:cs="Arial"/>
          <w:szCs w:val="24"/>
        </w:rPr>
      </w:pPr>
      <w:r w:rsidRPr="001F1486">
        <w:rPr>
          <w:rFonts w:ascii="Arial" w:hAnsi="Arial" w:cs="Arial"/>
          <w:szCs w:val="24"/>
        </w:rPr>
        <w:t>T</w:t>
      </w:r>
      <w:r w:rsidR="00596ED6" w:rsidRPr="001F1486">
        <w:rPr>
          <w:rFonts w:ascii="Arial" w:hAnsi="Arial" w:cs="Arial"/>
          <w:szCs w:val="24"/>
        </w:rPr>
        <w:t>here are two approaches to identifying tax expenditures.</w:t>
      </w:r>
      <w:r w:rsidR="004E54B8">
        <w:rPr>
          <w:rFonts w:ascii="Arial" w:hAnsi="Arial" w:cs="Arial"/>
          <w:szCs w:val="24"/>
        </w:rPr>
        <w:t xml:space="preserve"> </w:t>
      </w:r>
      <w:r w:rsidR="00592FC2" w:rsidRPr="001F1486">
        <w:rPr>
          <w:rFonts w:ascii="Arial" w:hAnsi="Arial" w:cs="Arial"/>
          <w:szCs w:val="24"/>
        </w:rPr>
        <w:t>The first approach is more traditional and uses</w:t>
      </w:r>
      <w:r w:rsidR="00596ED6" w:rsidRPr="001F1486">
        <w:rPr>
          <w:rFonts w:ascii="Arial" w:hAnsi="Arial" w:cs="Arial"/>
          <w:szCs w:val="24"/>
        </w:rPr>
        <w:t xml:space="preserve"> a widely accepted, relatively narrowly focused set of criteria</w:t>
      </w:r>
      <w:r w:rsidR="00592FC2" w:rsidRPr="001F1486">
        <w:rPr>
          <w:rFonts w:ascii="Arial" w:hAnsi="Arial" w:cs="Arial"/>
          <w:szCs w:val="24"/>
        </w:rPr>
        <w:t>.</w:t>
      </w:r>
      <w:r w:rsidR="004E54B8">
        <w:rPr>
          <w:rFonts w:ascii="Arial" w:hAnsi="Arial" w:cs="Arial"/>
          <w:szCs w:val="24"/>
        </w:rPr>
        <w:t xml:space="preserve"> </w:t>
      </w:r>
      <w:r w:rsidR="00592FC2" w:rsidRPr="001F1486">
        <w:rPr>
          <w:rFonts w:ascii="Arial" w:hAnsi="Arial" w:cs="Arial"/>
          <w:szCs w:val="24"/>
        </w:rPr>
        <w:t>T</w:t>
      </w:r>
      <w:r w:rsidR="00596ED6" w:rsidRPr="001F1486">
        <w:rPr>
          <w:rFonts w:ascii="Arial" w:hAnsi="Arial" w:cs="Arial"/>
          <w:szCs w:val="24"/>
        </w:rPr>
        <w:t>ax expenditures are identified by first defining the basic structure of the tax under consideration</w:t>
      </w:r>
      <w:r w:rsidR="00592FC2" w:rsidRPr="001F1486">
        <w:rPr>
          <w:rFonts w:ascii="Arial" w:hAnsi="Arial" w:cs="Arial"/>
          <w:szCs w:val="24"/>
        </w:rPr>
        <w:t xml:space="preserve"> and any p</w:t>
      </w:r>
      <w:r w:rsidR="00596ED6" w:rsidRPr="001F1486">
        <w:rPr>
          <w:rFonts w:ascii="Arial" w:hAnsi="Arial" w:cs="Arial"/>
          <w:szCs w:val="24"/>
        </w:rPr>
        <w:t xml:space="preserve">rovisions </w:t>
      </w:r>
      <w:r w:rsidR="00592FC2" w:rsidRPr="001F1486">
        <w:rPr>
          <w:rFonts w:ascii="Arial" w:hAnsi="Arial" w:cs="Arial"/>
          <w:szCs w:val="24"/>
        </w:rPr>
        <w:t xml:space="preserve">which </w:t>
      </w:r>
      <w:r w:rsidR="00596ED6" w:rsidRPr="001F1486">
        <w:rPr>
          <w:rFonts w:ascii="Arial" w:hAnsi="Arial" w:cs="Arial"/>
          <w:szCs w:val="24"/>
        </w:rPr>
        <w:t>deviat</w:t>
      </w:r>
      <w:r w:rsidR="00592FC2" w:rsidRPr="001F1486">
        <w:rPr>
          <w:rFonts w:ascii="Arial" w:hAnsi="Arial" w:cs="Arial"/>
          <w:szCs w:val="24"/>
        </w:rPr>
        <w:t>e</w:t>
      </w:r>
      <w:r w:rsidR="00596ED6" w:rsidRPr="001F1486">
        <w:rPr>
          <w:rFonts w:ascii="Arial" w:hAnsi="Arial" w:cs="Arial"/>
          <w:szCs w:val="24"/>
        </w:rPr>
        <w:t xml:space="preserve"> from the basic </w:t>
      </w:r>
      <w:r w:rsidR="007B6984" w:rsidRPr="001F1486">
        <w:rPr>
          <w:rFonts w:ascii="Arial" w:hAnsi="Arial" w:cs="Arial"/>
          <w:szCs w:val="24"/>
        </w:rPr>
        <w:t xml:space="preserve">tax </w:t>
      </w:r>
      <w:r w:rsidR="00596ED6" w:rsidRPr="001F1486">
        <w:rPr>
          <w:rFonts w:ascii="Arial" w:hAnsi="Arial" w:cs="Arial"/>
          <w:szCs w:val="24"/>
        </w:rPr>
        <w:t>structure are then considered to be tax expenditures</w:t>
      </w:r>
      <w:r w:rsidR="007B6984" w:rsidRPr="001F1486">
        <w:rPr>
          <w:rFonts w:ascii="Arial" w:hAnsi="Arial" w:cs="Arial"/>
          <w:szCs w:val="24"/>
        </w:rPr>
        <w:t>.</w:t>
      </w:r>
      <w:r w:rsidR="004E54B8">
        <w:rPr>
          <w:rFonts w:ascii="Arial" w:hAnsi="Arial" w:cs="Arial"/>
          <w:szCs w:val="24"/>
        </w:rPr>
        <w:t xml:space="preserve"> </w:t>
      </w:r>
      <w:r w:rsidR="007B6984" w:rsidRPr="001F1486">
        <w:rPr>
          <w:rFonts w:ascii="Arial" w:hAnsi="Arial" w:cs="Arial"/>
          <w:szCs w:val="24"/>
        </w:rPr>
        <w:t>P</w:t>
      </w:r>
      <w:r w:rsidR="00596ED6" w:rsidRPr="001F1486">
        <w:rPr>
          <w:rFonts w:ascii="Arial" w:hAnsi="Arial" w:cs="Arial"/>
          <w:szCs w:val="24"/>
        </w:rPr>
        <w:t>rovisions which form part of, or define, the basic</w:t>
      </w:r>
      <w:r w:rsidR="007B6984" w:rsidRPr="001F1486">
        <w:rPr>
          <w:rFonts w:ascii="Arial" w:hAnsi="Arial" w:cs="Arial"/>
          <w:szCs w:val="24"/>
        </w:rPr>
        <w:t xml:space="preserve"> tax </w:t>
      </w:r>
      <w:r w:rsidR="00596ED6" w:rsidRPr="001F1486">
        <w:rPr>
          <w:rFonts w:ascii="Arial" w:hAnsi="Arial" w:cs="Arial"/>
          <w:szCs w:val="24"/>
        </w:rPr>
        <w:t>structure are not tax expenditures.</w:t>
      </w:r>
      <w:r w:rsidR="004E54B8">
        <w:rPr>
          <w:rFonts w:ascii="Arial" w:hAnsi="Arial" w:cs="Arial"/>
          <w:szCs w:val="24"/>
        </w:rPr>
        <w:t xml:space="preserve"> </w:t>
      </w:r>
      <w:r w:rsidR="00596ED6" w:rsidRPr="001F1486">
        <w:rPr>
          <w:rFonts w:ascii="Arial" w:hAnsi="Arial" w:cs="Arial"/>
          <w:szCs w:val="24"/>
        </w:rPr>
        <w:t xml:space="preserve">Under this approach, some deductions, exemptions and </w:t>
      </w:r>
      <w:r w:rsidR="00C12F7A" w:rsidRPr="001F1486">
        <w:rPr>
          <w:rFonts w:ascii="Arial" w:hAnsi="Arial" w:cs="Arial"/>
          <w:szCs w:val="24"/>
        </w:rPr>
        <w:t>exclusions</w:t>
      </w:r>
      <w:r w:rsidR="00596ED6" w:rsidRPr="001F1486">
        <w:rPr>
          <w:rFonts w:ascii="Arial" w:hAnsi="Arial" w:cs="Arial"/>
          <w:szCs w:val="24"/>
        </w:rPr>
        <w:t xml:space="preserve"> are not considered tax expenditures because they are a part of the basic tax structure.</w:t>
      </w:r>
      <w:r w:rsidR="004E54B8">
        <w:rPr>
          <w:rFonts w:ascii="Arial" w:hAnsi="Arial" w:cs="Arial"/>
          <w:szCs w:val="24"/>
        </w:rPr>
        <w:t xml:space="preserve"> </w:t>
      </w:r>
      <w:r w:rsidR="00596ED6" w:rsidRPr="001F1486">
        <w:rPr>
          <w:rFonts w:ascii="Arial" w:hAnsi="Arial" w:cs="Arial"/>
          <w:szCs w:val="24"/>
        </w:rPr>
        <w:t xml:space="preserve">For example, </w:t>
      </w:r>
      <w:r w:rsidR="00065BB0">
        <w:rPr>
          <w:rFonts w:ascii="Arial" w:hAnsi="Arial" w:cs="Arial"/>
          <w:szCs w:val="24"/>
        </w:rPr>
        <w:t>because</w:t>
      </w:r>
      <w:r w:rsidR="00596ED6" w:rsidRPr="001F1486">
        <w:rPr>
          <w:rFonts w:ascii="Arial" w:hAnsi="Arial" w:cs="Arial"/>
          <w:szCs w:val="24"/>
        </w:rPr>
        <w:t xml:space="preserve"> income taxes are </w:t>
      </w:r>
      <w:r w:rsidR="00C12F7A" w:rsidRPr="001F1486">
        <w:rPr>
          <w:rFonts w:ascii="Arial" w:hAnsi="Arial" w:cs="Arial"/>
          <w:szCs w:val="24"/>
        </w:rPr>
        <w:t>imposed</w:t>
      </w:r>
      <w:r w:rsidR="00596ED6" w:rsidRPr="001F1486">
        <w:rPr>
          <w:rFonts w:ascii="Arial" w:hAnsi="Arial" w:cs="Arial"/>
          <w:szCs w:val="24"/>
        </w:rPr>
        <w:t xml:space="preserve"> on net </w:t>
      </w:r>
      <w:r w:rsidR="00596ED6" w:rsidRPr="001F1486">
        <w:rPr>
          <w:rFonts w:ascii="Arial" w:hAnsi="Arial" w:cs="Arial"/>
          <w:szCs w:val="24"/>
        </w:rPr>
        <w:lastRenderedPageBreak/>
        <w:t xml:space="preserve">income, ordinary and necessary </w:t>
      </w:r>
      <w:r w:rsidR="00C12F7A" w:rsidRPr="001F1486">
        <w:rPr>
          <w:rFonts w:ascii="Arial" w:hAnsi="Arial" w:cs="Arial"/>
          <w:szCs w:val="24"/>
        </w:rPr>
        <w:t xml:space="preserve">expenses </w:t>
      </w:r>
      <w:r w:rsidR="00596ED6" w:rsidRPr="001F1486">
        <w:rPr>
          <w:rFonts w:ascii="Arial" w:hAnsi="Arial" w:cs="Arial"/>
          <w:szCs w:val="24"/>
        </w:rPr>
        <w:t>are properly deductible in determining income and are, therefore, not tax expenditures.</w:t>
      </w:r>
    </w:p>
    <w:p w:rsidR="00596ED6" w:rsidRPr="001F1486" w:rsidRDefault="00596ED6" w:rsidP="004E54B8">
      <w:pPr>
        <w:spacing w:after="240"/>
        <w:jc w:val="both"/>
        <w:rPr>
          <w:rFonts w:ascii="Arial" w:hAnsi="Arial" w:cs="Arial"/>
          <w:szCs w:val="24"/>
        </w:rPr>
      </w:pPr>
      <w:r w:rsidRPr="001F1486">
        <w:rPr>
          <w:rFonts w:ascii="Arial" w:hAnsi="Arial" w:cs="Arial"/>
          <w:szCs w:val="24"/>
        </w:rPr>
        <w:t>Under a more broadly defined theory, tax expenditures are defined as all exemptions, exclusions, deductions</w:t>
      </w:r>
      <w:r w:rsidR="00065BB0">
        <w:rPr>
          <w:rFonts w:ascii="Arial" w:hAnsi="Arial" w:cs="Arial"/>
          <w:szCs w:val="24"/>
        </w:rPr>
        <w:t>,</w:t>
      </w:r>
      <w:r w:rsidRPr="001F1486">
        <w:rPr>
          <w:rFonts w:ascii="Arial" w:hAnsi="Arial" w:cs="Arial"/>
          <w:szCs w:val="24"/>
        </w:rPr>
        <w:t xml:space="preserve"> and credits.</w:t>
      </w:r>
      <w:r w:rsidR="004E54B8">
        <w:rPr>
          <w:rFonts w:ascii="Arial" w:hAnsi="Arial" w:cs="Arial"/>
          <w:szCs w:val="24"/>
        </w:rPr>
        <w:t xml:space="preserve"> </w:t>
      </w:r>
      <w:r w:rsidRPr="001F1486">
        <w:rPr>
          <w:rFonts w:ascii="Arial" w:hAnsi="Arial" w:cs="Arial"/>
          <w:szCs w:val="24"/>
        </w:rPr>
        <w:t xml:space="preserve">While this approach avoids some of the definitional issues encountered under traditional tax expenditure analysis, it </w:t>
      </w:r>
      <w:r w:rsidR="00DA7A7F" w:rsidRPr="001F1486">
        <w:rPr>
          <w:rFonts w:ascii="Arial" w:hAnsi="Arial" w:cs="Arial"/>
          <w:szCs w:val="24"/>
        </w:rPr>
        <w:t>includes</w:t>
      </w:r>
      <w:r w:rsidRPr="001F1486">
        <w:rPr>
          <w:rFonts w:ascii="Arial" w:hAnsi="Arial" w:cs="Arial"/>
          <w:szCs w:val="24"/>
        </w:rPr>
        <w:t xml:space="preserve"> many items as tax expenditures which are generally accepted as a part of the tax base. </w:t>
      </w:r>
    </w:p>
    <w:p w:rsidR="00BA4DCB" w:rsidRPr="001F1486" w:rsidRDefault="00590334" w:rsidP="004E54B8">
      <w:pPr>
        <w:spacing w:after="240"/>
        <w:jc w:val="both"/>
        <w:rPr>
          <w:rFonts w:ascii="Arial" w:hAnsi="Arial" w:cs="Arial"/>
          <w:szCs w:val="24"/>
        </w:rPr>
      </w:pPr>
      <w:r w:rsidRPr="001F1486">
        <w:rPr>
          <w:rFonts w:ascii="Arial" w:hAnsi="Arial" w:cs="Arial"/>
          <w:szCs w:val="24"/>
        </w:rPr>
        <w:t xml:space="preserve">In this study, </w:t>
      </w:r>
      <w:r w:rsidR="00DA7A7F" w:rsidRPr="001F1486">
        <w:rPr>
          <w:rFonts w:ascii="Arial" w:hAnsi="Arial" w:cs="Arial"/>
          <w:szCs w:val="24"/>
        </w:rPr>
        <w:t xml:space="preserve">the traditional tax expenditure analysis is </w:t>
      </w:r>
      <w:r w:rsidRPr="001F1486">
        <w:rPr>
          <w:rFonts w:ascii="Arial" w:hAnsi="Arial" w:cs="Arial"/>
          <w:szCs w:val="24"/>
        </w:rPr>
        <w:t>u</w:t>
      </w:r>
      <w:r w:rsidR="00596ED6" w:rsidRPr="001F1486">
        <w:rPr>
          <w:rFonts w:ascii="Arial" w:hAnsi="Arial" w:cs="Arial"/>
          <w:szCs w:val="24"/>
        </w:rPr>
        <w:t>se</w:t>
      </w:r>
      <w:r w:rsidR="00DA7A7F" w:rsidRPr="001F1486">
        <w:rPr>
          <w:rFonts w:ascii="Arial" w:hAnsi="Arial" w:cs="Arial"/>
          <w:szCs w:val="24"/>
        </w:rPr>
        <w:t>d.</w:t>
      </w:r>
      <w:r w:rsidR="004E54B8">
        <w:rPr>
          <w:rFonts w:ascii="Arial" w:hAnsi="Arial" w:cs="Arial"/>
          <w:szCs w:val="24"/>
        </w:rPr>
        <w:t xml:space="preserve"> </w:t>
      </w:r>
      <w:r w:rsidR="00DA7A7F" w:rsidRPr="001F1486">
        <w:rPr>
          <w:rFonts w:ascii="Arial" w:hAnsi="Arial" w:cs="Arial"/>
          <w:szCs w:val="24"/>
        </w:rPr>
        <w:t>Within the</w:t>
      </w:r>
      <w:r w:rsidR="00596ED6" w:rsidRPr="001F1486">
        <w:rPr>
          <w:rFonts w:ascii="Arial" w:hAnsi="Arial" w:cs="Arial"/>
          <w:szCs w:val="24"/>
        </w:rPr>
        <w:t xml:space="preserve"> traditional approach, selection of particular tax expenditures is still a subjective process.</w:t>
      </w:r>
      <w:r w:rsidR="004E54B8">
        <w:rPr>
          <w:rFonts w:ascii="Arial" w:hAnsi="Arial" w:cs="Arial"/>
          <w:szCs w:val="24"/>
        </w:rPr>
        <w:t xml:space="preserve"> </w:t>
      </w:r>
      <w:r w:rsidR="00CA176E" w:rsidRPr="001F1486">
        <w:rPr>
          <w:rFonts w:ascii="Arial" w:hAnsi="Arial" w:cs="Arial"/>
          <w:szCs w:val="24"/>
        </w:rPr>
        <w:t>For example, tax changes that alter the timing of when revenues or expenses are realized for tax purposes are not treated as t</w:t>
      </w:r>
      <w:r w:rsidR="00065BB0">
        <w:rPr>
          <w:rFonts w:ascii="Arial" w:hAnsi="Arial" w:cs="Arial"/>
          <w:szCs w:val="24"/>
        </w:rPr>
        <w:t>ax expenditures</w:t>
      </w:r>
      <w:r w:rsidR="00CA176E" w:rsidRPr="001F1486">
        <w:rPr>
          <w:rFonts w:ascii="Arial" w:hAnsi="Arial" w:cs="Arial"/>
          <w:szCs w:val="24"/>
        </w:rPr>
        <w:t>.</w:t>
      </w:r>
      <w:r w:rsidR="004E54B8">
        <w:rPr>
          <w:rFonts w:ascii="Arial" w:hAnsi="Arial" w:cs="Arial"/>
          <w:szCs w:val="24"/>
        </w:rPr>
        <w:t xml:space="preserve"> </w:t>
      </w:r>
      <w:r w:rsidR="00596ED6" w:rsidRPr="001F1486">
        <w:rPr>
          <w:rFonts w:ascii="Arial" w:hAnsi="Arial" w:cs="Arial"/>
          <w:szCs w:val="24"/>
        </w:rPr>
        <w:t xml:space="preserve">Although an attempt was made to be as inclusive as possible within the general criteria, there remains potential for additional tax expenditures </w:t>
      </w:r>
      <w:r w:rsidR="00A728BF" w:rsidRPr="001F1486">
        <w:rPr>
          <w:rFonts w:ascii="Arial" w:hAnsi="Arial" w:cs="Arial"/>
          <w:szCs w:val="24"/>
        </w:rPr>
        <w:t xml:space="preserve">to be identified </w:t>
      </w:r>
      <w:r w:rsidR="00596ED6" w:rsidRPr="001F1486">
        <w:rPr>
          <w:rFonts w:ascii="Arial" w:hAnsi="Arial" w:cs="Arial"/>
          <w:szCs w:val="24"/>
        </w:rPr>
        <w:t>in the future.</w:t>
      </w:r>
      <w:r w:rsidR="004E54B8">
        <w:rPr>
          <w:rFonts w:ascii="Arial" w:hAnsi="Arial" w:cs="Arial"/>
          <w:szCs w:val="24"/>
        </w:rPr>
        <w:t xml:space="preserve"> </w:t>
      </w:r>
    </w:p>
    <w:p w:rsidR="00BA4DCB" w:rsidRPr="0022122C" w:rsidRDefault="00BA4DCB" w:rsidP="0098517B">
      <w:pPr>
        <w:pStyle w:val="Heading2"/>
      </w:pPr>
      <w:r w:rsidRPr="0022122C">
        <w:t xml:space="preserve">How </w:t>
      </w:r>
      <w:r w:rsidR="009D2729" w:rsidRPr="0022122C">
        <w:t xml:space="preserve">the </w:t>
      </w:r>
      <w:r w:rsidRPr="0022122C">
        <w:t>Tax Expenditures Have Been Estimated</w:t>
      </w:r>
    </w:p>
    <w:p w:rsidR="004E54B8" w:rsidRDefault="009D2729" w:rsidP="004E54B8">
      <w:pPr>
        <w:spacing w:after="240"/>
        <w:jc w:val="both"/>
        <w:rPr>
          <w:rFonts w:ascii="Arial" w:hAnsi="Arial" w:cs="Arial"/>
          <w:szCs w:val="24"/>
        </w:rPr>
      </w:pPr>
      <w:r w:rsidRPr="001F1486">
        <w:rPr>
          <w:rFonts w:ascii="Arial" w:hAnsi="Arial" w:cs="Arial"/>
          <w:szCs w:val="24"/>
        </w:rPr>
        <w:t>Two primary</w:t>
      </w:r>
      <w:r w:rsidR="00BA4DCB" w:rsidRPr="001F1486">
        <w:rPr>
          <w:rFonts w:ascii="Arial" w:hAnsi="Arial" w:cs="Arial"/>
          <w:szCs w:val="24"/>
        </w:rPr>
        <w:t xml:space="preserve"> assumptions </w:t>
      </w:r>
      <w:r w:rsidRPr="001F1486">
        <w:rPr>
          <w:rFonts w:ascii="Arial" w:hAnsi="Arial" w:cs="Arial"/>
          <w:szCs w:val="24"/>
        </w:rPr>
        <w:t xml:space="preserve">have been </w:t>
      </w:r>
      <w:r w:rsidR="00BA4DCB" w:rsidRPr="001F1486">
        <w:rPr>
          <w:rFonts w:ascii="Arial" w:hAnsi="Arial" w:cs="Arial"/>
          <w:szCs w:val="24"/>
        </w:rPr>
        <w:t xml:space="preserve">used for the Iowa tax expenditure study </w:t>
      </w:r>
      <w:r w:rsidRPr="001F1486">
        <w:rPr>
          <w:rFonts w:ascii="Arial" w:hAnsi="Arial" w:cs="Arial"/>
          <w:szCs w:val="24"/>
        </w:rPr>
        <w:t xml:space="preserve">that </w:t>
      </w:r>
      <w:r w:rsidR="00BA4DCB" w:rsidRPr="001F1486">
        <w:rPr>
          <w:rFonts w:ascii="Arial" w:hAnsi="Arial" w:cs="Arial"/>
          <w:szCs w:val="24"/>
        </w:rPr>
        <w:t>are generally consistent with th</w:t>
      </w:r>
      <w:r w:rsidRPr="001F1486">
        <w:rPr>
          <w:rFonts w:ascii="Arial" w:hAnsi="Arial" w:cs="Arial"/>
          <w:szCs w:val="24"/>
        </w:rPr>
        <w:t>e assumptions</w:t>
      </w:r>
      <w:r w:rsidR="00BA4DCB" w:rsidRPr="001F1486">
        <w:rPr>
          <w:rFonts w:ascii="Arial" w:hAnsi="Arial" w:cs="Arial"/>
          <w:szCs w:val="24"/>
        </w:rPr>
        <w:t xml:space="preserve"> used for calculating tax expenditures </w:t>
      </w:r>
      <w:r w:rsidRPr="001F1486">
        <w:rPr>
          <w:rFonts w:ascii="Arial" w:hAnsi="Arial" w:cs="Arial"/>
          <w:szCs w:val="24"/>
        </w:rPr>
        <w:t>in</w:t>
      </w:r>
      <w:r w:rsidR="00BA4DCB" w:rsidRPr="001F1486">
        <w:rPr>
          <w:rFonts w:ascii="Arial" w:hAnsi="Arial" w:cs="Arial"/>
          <w:szCs w:val="24"/>
        </w:rPr>
        <w:t xml:space="preserve"> other states and </w:t>
      </w:r>
      <w:r w:rsidRPr="001F1486">
        <w:rPr>
          <w:rFonts w:ascii="Arial" w:hAnsi="Arial" w:cs="Arial"/>
          <w:szCs w:val="24"/>
        </w:rPr>
        <w:t>by</w:t>
      </w:r>
      <w:r w:rsidR="00BA4DCB" w:rsidRPr="001F1486">
        <w:rPr>
          <w:rFonts w:ascii="Arial" w:hAnsi="Arial" w:cs="Arial"/>
          <w:szCs w:val="24"/>
        </w:rPr>
        <w:t xml:space="preserve"> the federal government.</w:t>
      </w:r>
      <w:r w:rsidR="004E54B8">
        <w:rPr>
          <w:rFonts w:ascii="Arial" w:hAnsi="Arial" w:cs="Arial"/>
          <w:szCs w:val="24"/>
        </w:rPr>
        <w:t xml:space="preserve"> </w:t>
      </w:r>
      <w:r w:rsidR="00BA4DCB" w:rsidRPr="001F1486">
        <w:rPr>
          <w:rFonts w:ascii="Arial" w:hAnsi="Arial" w:cs="Arial"/>
          <w:szCs w:val="24"/>
        </w:rPr>
        <w:t>Th</w:t>
      </w:r>
      <w:r w:rsidRPr="001F1486">
        <w:rPr>
          <w:rFonts w:ascii="Arial" w:hAnsi="Arial" w:cs="Arial"/>
          <w:szCs w:val="24"/>
        </w:rPr>
        <w:t>e first of these</w:t>
      </w:r>
      <w:r w:rsidR="00BA4DCB" w:rsidRPr="001F1486">
        <w:rPr>
          <w:rFonts w:ascii="Arial" w:hAnsi="Arial" w:cs="Arial"/>
          <w:szCs w:val="24"/>
        </w:rPr>
        <w:t xml:space="preserve"> assumptions </w:t>
      </w:r>
      <w:r w:rsidRPr="001F1486">
        <w:rPr>
          <w:rFonts w:ascii="Arial" w:hAnsi="Arial" w:cs="Arial"/>
          <w:szCs w:val="24"/>
        </w:rPr>
        <w:t>is that economic behavior is not altered.</w:t>
      </w:r>
      <w:r w:rsidR="004E54B8">
        <w:rPr>
          <w:rFonts w:ascii="Arial" w:hAnsi="Arial" w:cs="Arial"/>
          <w:szCs w:val="24"/>
        </w:rPr>
        <w:t xml:space="preserve"> </w:t>
      </w:r>
      <w:r w:rsidRPr="001F1486">
        <w:rPr>
          <w:rFonts w:ascii="Arial" w:hAnsi="Arial" w:cs="Arial"/>
          <w:szCs w:val="24"/>
        </w:rPr>
        <w:t>By definition, tax expenditures are sometimes created in order to bring about an expected result or to encourage a particular behavior.</w:t>
      </w:r>
      <w:r w:rsidR="004E54B8">
        <w:rPr>
          <w:rFonts w:ascii="Arial" w:hAnsi="Arial" w:cs="Arial"/>
          <w:szCs w:val="24"/>
        </w:rPr>
        <w:t xml:space="preserve"> </w:t>
      </w:r>
      <w:r w:rsidRPr="001F1486">
        <w:rPr>
          <w:rFonts w:ascii="Arial" w:hAnsi="Arial" w:cs="Arial"/>
          <w:szCs w:val="24"/>
        </w:rPr>
        <w:t xml:space="preserve">Estimates in this study are done assuming that elimination of the tax expenditure will </w:t>
      </w:r>
      <w:r w:rsidR="00065BB0">
        <w:rPr>
          <w:rFonts w:ascii="Arial" w:hAnsi="Arial" w:cs="Arial"/>
          <w:szCs w:val="24"/>
        </w:rPr>
        <w:t>not otherwise change behavior.</w:t>
      </w:r>
      <w:r w:rsidR="004E54B8">
        <w:rPr>
          <w:rFonts w:ascii="Arial" w:hAnsi="Arial" w:cs="Arial"/>
          <w:szCs w:val="24"/>
        </w:rPr>
        <w:t xml:space="preserve"> </w:t>
      </w:r>
      <w:r w:rsidRPr="001F1486">
        <w:rPr>
          <w:rFonts w:ascii="Arial" w:hAnsi="Arial" w:cs="Arial"/>
          <w:szCs w:val="24"/>
        </w:rPr>
        <w:t>This assumption avoids the necessity for making subjective assumptions about behavior and the possibility of inconsistency in methods and outcomes.</w:t>
      </w:r>
      <w:r w:rsidR="004E54B8">
        <w:rPr>
          <w:rFonts w:ascii="Arial" w:hAnsi="Arial" w:cs="Arial"/>
          <w:szCs w:val="24"/>
        </w:rPr>
        <w:t xml:space="preserve"> </w:t>
      </w:r>
      <w:r w:rsidR="001F1486" w:rsidRPr="001F1486">
        <w:rPr>
          <w:rFonts w:ascii="Arial" w:hAnsi="Arial" w:cs="Arial"/>
          <w:szCs w:val="24"/>
        </w:rPr>
        <w:t>Such analysis is beyond the scope of this study.</w:t>
      </w:r>
      <w:bookmarkStart w:id="43" w:name="_Toc219790794"/>
      <w:bookmarkStart w:id="44" w:name="_Toc220832041"/>
      <w:bookmarkStart w:id="45" w:name="_Toc220832252"/>
    </w:p>
    <w:p w:rsidR="00BA4DCB" w:rsidRPr="004E54B8" w:rsidRDefault="00157F6C" w:rsidP="004E54B8">
      <w:pPr>
        <w:spacing w:after="240"/>
        <w:jc w:val="both"/>
        <w:rPr>
          <w:rFonts w:ascii="Arial" w:hAnsi="Arial" w:cs="Arial"/>
          <w:szCs w:val="24"/>
        </w:rPr>
      </w:pPr>
      <w:r w:rsidRPr="001F1486">
        <w:rPr>
          <w:rFonts w:ascii="Arial" w:hAnsi="Arial" w:cs="Arial"/>
          <w:szCs w:val="24"/>
        </w:rPr>
        <w:t>The second assumption used in this study is that</w:t>
      </w:r>
      <w:r w:rsidR="009D2729" w:rsidRPr="001F1486">
        <w:rPr>
          <w:rFonts w:ascii="Arial" w:hAnsi="Arial" w:cs="Arial"/>
          <w:szCs w:val="24"/>
        </w:rPr>
        <w:t xml:space="preserve"> tax expenditures are independent</w:t>
      </w:r>
      <w:r w:rsidR="00562883" w:rsidRPr="001F1486">
        <w:rPr>
          <w:rFonts w:ascii="Arial" w:hAnsi="Arial" w:cs="Arial"/>
          <w:szCs w:val="24"/>
        </w:rPr>
        <w:t xml:space="preserve"> of other tax provisions</w:t>
      </w:r>
      <w:r w:rsidR="009D2729" w:rsidRPr="001F1486">
        <w:rPr>
          <w:rFonts w:ascii="Arial" w:hAnsi="Arial" w:cs="Arial"/>
          <w:szCs w:val="24"/>
        </w:rPr>
        <w:t>.</w:t>
      </w:r>
      <w:r w:rsidR="004E54B8">
        <w:rPr>
          <w:rFonts w:ascii="Arial" w:hAnsi="Arial" w:cs="Arial"/>
          <w:szCs w:val="24"/>
        </w:rPr>
        <w:t xml:space="preserve"> </w:t>
      </w:r>
      <w:r w:rsidR="00CA176E" w:rsidRPr="001F1486">
        <w:rPr>
          <w:rFonts w:ascii="Arial" w:hAnsi="Arial" w:cs="Arial"/>
          <w:szCs w:val="24"/>
        </w:rPr>
        <w:t>T</w:t>
      </w:r>
      <w:r w:rsidR="00BA4DCB" w:rsidRPr="001F1486">
        <w:rPr>
          <w:rFonts w:ascii="Arial" w:hAnsi="Arial" w:cs="Arial"/>
          <w:szCs w:val="24"/>
        </w:rPr>
        <w:t xml:space="preserve">he fiscal impact of one tax provision can </w:t>
      </w:r>
      <w:r w:rsidRPr="001F1486">
        <w:rPr>
          <w:rFonts w:ascii="Arial" w:hAnsi="Arial" w:cs="Arial"/>
          <w:szCs w:val="24"/>
        </w:rPr>
        <w:t>affect</w:t>
      </w:r>
      <w:r w:rsidR="00BA4DCB" w:rsidRPr="001F1486">
        <w:rPr>
          <w:rFonts w:ascii="Arial" w:hAnsi="Arial" w:cs="Arial"/>
          <w:szCs w:val="24"/>
        </w:rPr>
        <w:t xml:space="preserve"> the fiscal impact of another tax provision.</w:t>
      </w:r>
      <w:r w:rsidR="004E54B8">
        <w:rPr>
          <w:rFonts w:ascii="Arial" w:hAnsi="Arial" w:cs="Arial"/>
          <w:szCs w:val="24"/>
        </w:rPr>
        <w:t xml:space="preserve"> </w:t>
      </w:r>
      <w:r w:rsidR="00BA4DCB" w:rsidRPr="001F1486">
        <w:rPr>
          <w:rFonts w:ascii="Arial" w:hAnsi="Arial" w:cs="Arial"/>
          <w:szCs w:val="24"/>
        </w:rPr>
        <w:t xml:space="preserve">For </w:t>
      </w:r>
      <w:r w:rsidR="007B0C04">
        <w:rPr>
          <w:rFonts w:ascii="Arial" w:hAnsi="Arial" w:cs="Arial"/>
          <w:szCs w:val="24"/>
        </w:rPr>
        <w:t xml:space="preserve">example, </w:t>
      </w:r>
      <w:r w:rsidR="00160BF2">
        <w:rPr>
          <w:rFonts w:ascii="Arial" w:hAnsi="Arial" w:cs="Arial"/>
          <w:szCs w:val="24"/>
        </w:rPr>
        <w:t>under</w:t>
      </w:r>
      <w:r w:rsidR="00BA4DCB" w:rsidRPr="001F1486">
        <w:rPr>
          <w:rFonts w:ascii="Arial" w:hAnsi="Arial" w:cs="Arial"/>
          <w:szCs w:val="24"/>
        </w:rPr>
        <w:t xml:space="preserve"> the individual income tax, </w:t>
      </w:r>
      <w:r w:rsidR="007B0C04">
        <w:rPr>
          <w:rFonts w:ascii="Arial" w:hAnsi="Arial" w:cs="Arial"/>
          <w:szCs w:val="24"/>
        </w:rPr>
        <w:t>eliminating</w:t>
      </w:r>
      <w:r w:rsidR="00BA4DCB" w:rsidRPr="001F1486">
        <w:rPr>
          <w:rFonts w:ascii="Arial" w:hAnsi="Arial" w:cs="Arial"/>
          <w:szCs w:val="24"/>
        </w:rPr>
        <w:t xml:space="preserve"> </w:t>
      </w:r>
      <w:r w:rsidR="007B0C04">
        <w:rPr>
          <w:rFonts w:ascii="Arial" w:hAnsi="Arial" w:cs="Arial"/>
          <w:szCs w:val="24"/>
        </w:rPr>
        <w:t xml:space="preserve">a nonrefundable credit such as the personal credit could result in taxpayers being able to utilize more of other nonrefundable credits, but the estimate of the tax expenditure </w:t>
      </w:r>
      <w:r w:rsidR="00E0165C">
        <w:rPr>
          <w:rFonts w:ascii="Arial" w:hAnsi="Arial" w:cs="Arial"/>
          <w:szCs w:val="24"/>
        </w:rPr>
        <w:t>value</w:t>
      </w:r>
      <w:r w:rsidR="007B0C04">
        <w:rPr>
          <w:rFonts w:ascii="Arial" w:hAnsi="Arial" w:cs="Arial"/>
          <w:szCs w:val="24"/>
        </w:rPr>
        <w:t xml:space="preserve"> for each credit assumes all other credits remain in place</w:t>
      </w:r>
      <w:r w:rsidR="00BA4DCB" w:rsidRPr="001F1486">
        <w:rPr>
          <w:rFonts w:ascii="Arial" w:hAnsi="Arial" w:cs="Arial"/>
          <w:szCs w:val="24"/>
        </w:rPr>
        <w:t>.</w:t>
      </w:r>
      <w:r w:rsidR="004E54B8">
        <w:rPr>
          <w:rFonts w:ascii="Arial" w:hAnsi="Arial" w:cs="Arial"/>
          <w:szCs w:val="24"/>
        </w:rPr>
        <w:t xml:space="preserve"> </w:t>
      </w:r>
      <w:r w:rsidR="00BA4DCB" w:rsidRPr="001F1486">
        <w:rPr>
          <w:rFonts w:ascii="Arial" w:hAnsi="Arial" w:cs="Arial"/>
          <w:szCs w:val="24"/>
        </w:rPr>
        <w:t>This type of impact is beyond the scope of this study.</w:t>
      </w:r>
      <w:bookmarkEnd w:id="43"/>
      <w:bookmarkEnd w:id="44"/>
      <w:bookmarkEnd w:id="45"/>
    </w:p>
    <w:p w:rsidR="00BA4DCB" w:rsidRPr="001F1486" w:rsidRDefault="00562883" w:rsidP="004E54B8">
      <w:pPr>
        <w:spacing w:after="240"/>
        <w:jc w:val="both"/>
        <w:rPr>
          <w:rFonts w:ascii="Arial" w:hAnsi="Arial" w:cs="Arial"/>
          <w:szCs w:val="24"/>
        </w:rPr>
      </w:pPr>
      <w:r w:rsidRPr="001F1486">
        <w:rPr>
          <w:rFonts w:ascii="Arial" w:hAnsi="Arial" w:cs="Arial"/>
          <w:szCs w:val="24"/>
        </w:rPr>
        <w:t>Another important issue to note is that tax expenditure estimates are not the same as budgetary fiscal estimates.</w:t>
      </w:r>
      <w:r w:rsidR="004E54B8">
        <w:rPr>
          <w:rFonts w:ascii="Arial" w:hAnsi="Arial" w:cs="Arial"/>
          <w:szCs w:val="24"/>
        </w:rPr>
        <w:t xml:space="preserve"> </w:t>
      </w:r>
      <w:r w:rsidR="00BA4DCB" w:rsidRPr="001F1486">
        <w:rPr>
          <w:rFonts w:ascii="Arial" w:hAnsi="Arial" w:cs="Arial"/>
          <w:szCs w:val="24"/>
        </w:rPr>
        <w:t xml:space="preserve">Although the provided estimates of tax expenditures indicate the magnitude of the revenue gain from repeal of specific provisions, actual budgetary fiscal impacts of legislative changes </w:t>
      </w:r>
      <w:r w:rsidR="00B67854" w:rsidRPr="001F1486">
        <w:rPr>
          <w:rFonts w:ascii="Arial" w:hAnsi="Arial" w:cs="Arial"/>
          <w:szCs w:val="24"/>
        </w:rPr>
        <w:t>may produce different results.</w:t>
      </w:r>
      <w:r w:rsidR="004E54B8">
        <w:rPr>
          <w:rFonts w:ascii="Arial" w:hAnsi="Arial" w:cs="Arial"/>
          <w:szCs w:val="24"/>
        </w:rPr>
        <w:t xml:space="preserve"> </w:t>
      </w:r>
      <w:r w:rsidR="00B67854" w:rsidRPr="001F1486">
        <w:rPr>
          <w:rFonts w:ascii="Arial" w:hAnsi="Arial" w:cs="Arial"/>
          <w:szCs w:val="24"/>
        </w:rPr>
        <w:t>T</w:t>
      </w:r>
      <w:r w:rsidRPr="001F1486">
        <w:rPr>
          <w:rFonts w:ascii="Arial" w:hAnsi="Arial" w:cs="Arial"/>
          <w:szCs w:val="24"/>
        </w:rPr>
        <w:t>he primary r</w:t>
      </w:r>
      <w:r w:rsidR="00BA4DCB" w:rsidRPr="001F1486">
        <w:rPr>
          <w:rFonts w:ascii="Arial" w:hAnsi="Arial" w:cs="Arial"/>
          <w:szCs w:val="24"/>
        </w:rPr>
        <w:t xml:space="preserve">eason for this variance </w:t>
      </w:r>
      <w:r w:rsidRPr="001F1486">
        <w:rPr>
          <w:rFonts w:ascii="Arial" w:hAnsi="Arial" w:cs="Arial"/>
          <w:szCs w:val="24"/>
        </w:rPr>
        <w:t xml:space="preserve">is the </w:t>
      </w:r>
      <w:r w:rsidR="00BA4DCB" w:rsidRPr="001F1486">
        <w:rPr>
          <w:rFonts w:ascii="Arial" w:hAnsi="Arial" w:cs="Arial"/>
          <w:szCs w:val="24"/>
        </w:rPr>
        <w:t xml:space="preserve">use of different basic economic assumptions or time periods when compiling </w:t>
      </w:r>
      <w:r w:rsidRPr="001F1486">
        <w:rPr>
          <w:rFonts w:ascii="Arial" w:hAnsi="Arial" w:cs="Arial"/>
          <w:szCs w:val="24"/>
        </w:rPr>
        <w:t xml:space="preserve">the </w:t>
      </w:r>
      <w:r w:rsidR="00BA4DCB" w:rsidRPr="001F1486">
        <w:rPr>
          <w:rFonts w:ascii="Arial" w:hAnsi="Arial" w:cs="Arial"/>
          <w:szCs w:val="24"/>
        </w:rPr>
        <w:t>esti</w:t>
      </w:r>
      <w:r w:rsidRPr="001F1486">
        <w:rPr>
          <w:rFonts w:ascii="Arial" w:hAnsi="Arial" w:cs="Arial"/>
          <w:szCs w:val="24"/>
        </w:rPr>
        <w:t>mates.</w:t>
      </w:r>
      <w:r w:rsidR="004E54B8">
        <w:rPr>
          <w:rFonts w:ascii="Arial" w:hAnsi="Arial" w:cs="Arial"/>
          <w:szCs w:val="24"/>
        </w:rPr>
        <w:t xml:space="preserve"> </w:t>
      </w:r>
      <w:r w:rsidRPr="001F1486">
        <w:rPr>
          <w:rFonts w:ascii="Arial" w:hAnsi="Arial" w:cs="Arial"/>
          <w:szCs w:val="24"/>
        </w:rPr>
        <w:t xml:space="preserve">Another reason for possible </w:t>
      </w:r>
      <w:r w:rsidR="00B67854" w:rsidRPr="001F1486">
        <w:rPr>
          <w:rFonts w:ascii="Arial" w:hAnsi="Arial" w:cs="Arial"/>
          <w:szCs w:val="24"/>
        </w:rPr>
        <w:t>differences</w:t>
      </w:r>
      <w:r w:rsidRPr="001F1486">
        <w:rPr>
          <w:rFonts w:ascii="Arial" w:hAnsi="Arial" w:cs="Arial"/>
          <w:szCs w:val="24"/>
        </w:rPr>
        <w:t xml:space="preserve"> is the </w:t>
      </w:r>
      <w:r w:rsidR="00B67854" w:rsidRPr="001F1486">
        <w:rPr>
          <w:rFonts w:ascii="Arial" w:hAnsi="Arial" w:cs="Arial"/>
          <w:szCs w:val="24"/>
        </w:rPr>
        <w:t>assumption of independence when calculating</w:t>
      </w:r>
      <w:r w:rsidR="00BA4DCB" w:rsidRPr="001F1486">
        <w:rPr>
          <w:rFonts w:ascii="Arial" w:hAnsi="Arial" w:cs="Arial"/>
          <w:szCs w:val="24"/>
        </w:rPr>
        <w:t xml:space="preserve"> tax expenditures contrasted with budgetary fiscal estimates that are </w:t>
      </w:r>
      <w:r w:rsidR="00B67854" w:rsidRPr="001F1486">
        <w:rPr>
          <w:rFonts w:ascii="Arial" w:hAnsi="Arial" w:cs="Arial"/>
          <w:szCs w:val="24"/>
        </w:rPr>
        <w:t xml:space="preserve">often </w:t>
      </w:r>
      <w:r w:rsidR="00BA4DCB" w:rsidRPr="001F1486">
        <w:rPr>
          <w:rFonts w:ascii="Arial" w:hAnsi="Arial" w:cs="Arial"/>
          <w:szCs w:val="24"/>
        </w:rPr>
        <w:t xml:space="preserve">considered in the context of other changes. </w:t>
      </w:r>
    </w:p>
    <w:p w:rsidR="00596ED6" w:rsidRPr="001F1486" w:rsidRDefault="00562883" w:rsidP="004E54B8">
      <w:pPr>
        <w:spacing w:after="240"/>
        <w:jc w:val="both"/>
        <w:rPr>
          <w:rFonts w:ascii="Arial" w:hAnsi="Arial" w:cs="Arial"/>
          <w:szCs w:val="24"/>
        </w:rPr>
      </w:pPr>
      <w:r w:rsidRPr="001F1486">
        <w:rPr>
          <w:rFonts w:ascii="Arial" w:hAnsi="Arial" w:cs="Arial"/>
          <w:szCs w:val="24"/>
        </w:rPr>
        <w:t>When possible, the primary s</w:t>
      </w:r>
      <w:r w:rsidR="00596ED6" w:rsidRPr="001F1486">
        <w:rPr>
          <w:rFonts w:ascii="Arial" w:hAnsi="Arial" w:cs="Arial"/>
          <w:szCs w:val="24"/>
        </w:rPr>
        <w:t xml:space="preserve">ources of information used </w:t>
      </w:r>
      <w:r w:rsidR="0092038A" w:rsidRPr="001F1486">
        <w:rPr>
          <w:rFonts w:ascii="Arial" w:hAnsi="Arial" w:cs="Arial"/>
          <w:szCs w:val="24"/>
        </w:rPr>
        <w:t xml:space="preserve">to </w:t>
      </w:r>
      <w:r w:rsidR="00596ED6" w:rsidRPr="001F1486">
        <w:rPr>
          <w:rFonts w:ascii="Arial" w:hAnsi="Arial" w:cs="Arial"/>
          <w:szCs w:val="24"/>
        </w:rPr>
        <w:t>estimate</w:t>
      </w:r>
      <w:r w:rsidR="0092038A" w:rsidRPr="001F1486">
        <w:rPr>
          <w:rFonts w:ascii="Arial" w:hAnsi="Arial" w:cs="Arial"/>
          <w:szCs w:val="24"/>
        </w:rPr>
        <w:t xml:space="preserve"> the tax expenditures were</w:t>
      </w:r>
      <w:r w:rsidR="00596ED6" w:rsidRPr="001F1486">
        <w:rPr>
          <w:rFonts w:ascii="Arial" w:hAnsi="Arial" w:cs="Arial"/>
          <w:szCs w:val="24"/>
        </w:rPr>
        <w:t xml:space="preserve"> tax returns and filing information.</w:t>
      </w:r>
      <w:r w:rsidR="004E54B8">
        <w:rPr>
          <w:rFonts w:ascii="Arial" w:hAnsi="Arial" w:cs="Arial"/>
          <w:szCs w:val="24"/>
        </w:rPr>
        <w:t xml:space="preserve"> </w:t>
      </w:r>
      <w:r w:rsidR="00596ED6" w:rsidRPr="001F1486">
        <w:rPr>
          <w:rFonts w:ascii="Arial" w:hAnsi="Arial" w:cs="Arial"/>
          <w:szCs w:val="24"/>
        </w:rPr>
        <w:t xml:space="preserve">When that </w:t>
      </w:r>
      <w:r w:rsidR="0092038A" w:rsidRPr="001F1486">
        <w:rPr>
          <w:rFonts w:ascii="Arial" w:hAnsi="Arial" w:cs="Arial"/>
          <w:szCs w:val="24"/>
        </w:rPr>
        <w:t>wa</w:t>
      </w:r>
      <w:r w:rsidR="00596ED6" w:rsidRPr="001F1486">
        <w:rPr>
          <w:rFonts w:ascii="Arial" w:hAnsi="Arial" w:cs="Arial"/>
          <w:szCs w:val="24"/>
        </w:rPr>
        <w:t>s not po</w:t>
      </w:r>
      <w:r w:rsidR="0092038A" w:rsidRPr="001F1486">
        <w:rPr>
          <w:rFonts w:ascii="Arial" w:hAnsi="Arial" w:cs="Arial"/>
          <w:szCs w:val="24"/>
        </w:rPr>
        <w:t>ssible, secondary sources were</w:t>
      </w:r>
      <w:r w:rsidR="00596ED6" w:rsidRPr="001F1486">
        <w:rPr>
          <w:rFonts w:ascii="Arial" w:hAnsi="Arial" w:cs="Arial"/>
          <w:szCs w:val="24"/>
        </w:rPr>
        <w:t xml:space="preserve"> used.</w:t>
      </w:r>
    </w:p>
    <w:p w:rsidR="00C15D1F" w:rsidRPr="001F1486" w:rsidRDefault="00C15D1F" w:rsidP="00C15D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Arial" w:hAnsi="Arial" w:cs="Arial"/>
          <w:snapToGrid w:val="0"/>
          <w:color w:val="000000"/>
          <w:szCs w:val="24"/>
        </w:rPr>
      </w:pPr>
      <w:r w:rsidRPr="001F1486">
        <w:rPr>
          <w:rFonts w:ascii="Arial" w:hAnsi="Arial" w:cs="Arial"/>
          <w:snapToGrid w:val="0"/>
          <w:color w:val="000000"/>
          <w:szCs w:val="24"/>
        </w:rPr>
        <w:lastRenderedPageBreak/>
        <w:t xml:space="preserve">The estimates in this </w:t>
      </w:r>
      <w:r>
        <w:rPr>
          <w:rFonts w:ascii="Arial" w:hAnsi="Arial" w:cs="Arial"/>
          <w:snapToGrid w:val="0"/>
          <w:color w:val="000000"/>
          <w:szCs w:val="24"/>
        </w:rPr>
        <w:t>study</w:t>
      </w:r>
      <w:r w:rsidRPr="001F1486">
        <w:rPr>
          <w:rFonts w:ascii="Arial" w:hAnsi="Arial" w:cs="Arial"/>
          <w:snapToGrid w:val="0"/>
          <w:color w:val="000000"/>
          <w:szCs w:val="24"/>
        </w:rPr>
        <w:t xml:space="preserve"> relate to expenditures estimated for the 2010 calendar year</w:t>
      </w:r>
      <w:r>
        <w:rPr>
          <w:rFonts w:ascii="Arial" w:hAnsi="Arial" w:cs="Arial"/>
          <w:snapToGrid w:val="0"/>
          <w:color w:val="000000"/>
          <w:szCs w:val="24"/>
        </w:rPr>
        <w:t xml:space="preserve"> for Sales and Use Taxes and tax year 2010 for Individual and Corporation Income Taxes as well as all Tax Credits</w:t>
      </w:r>
      <w:r w:rsidRPr="001F1486">
        <w:rPr>
          <w:rFonts w:ascii="Arial" w:hAnsi="Arial" w:cs="Arial"/>
          <w:snapToGrid w:val="0"/>
          <w:color w:val="000000"/>
          <w:szCs w:val="24"/>
        </w:rPr>
        <w:t>.</w:t>
      </w:r>
      <w:r>
        <w:rPr>
          <w:rFonts w:ascii="Arial" w:hAnsi="Arial" w:cs="Arial"/>
          <w:snapToGrid w:val="0"/>
          <w:color w:val="000000"/>
          <w:szCs w:val="24"/>
        </w:rPr>
        <w:t xml:space="preserve"> For Property T</w:t>
      </w:r>
      <w:r w:rsidRPr="001F1486">
        <w:rPr>
          <w:rFonts w:ascii="Arial" w:hAnsi="Arial" w:cs="Arial"/>
          <w:snapToGrid w:val="0"/>
          <w:color w:val="000000"/>
          <w:szCs w:val="24"/>
        </w:rPr>
        <w:t>ax, the estimates relate to property valuations for the year 2008 (that would correspond to tax bills due in 2010) or for appropriations occurring during 2010.</w:t>
      </w:r>
    </w:p>
    <w:p w:rsidR="00C15D1F" w:rsidRDefault="00C15D1F" w:rsidP="0098517B">
      <w:pPr>
        <w:pStyle w:val="Heading1"/>
      </w:pPr>
    </w:p>
    <w:p w:rsidR="00AD6114" w:rsidRPr="0098517B" w:rsidRDefault="00AD6114" w:rsidP="0098517B">
      <w:pPr>
        <w:pStyle w:val="Heading1"/>
      </w:pPr>
      <w:r w:rsidRPr="0098517B">
        <w:t xml:space="preserve">Tax Expenditure </w:t>
      </w:r>
      <w:r w:rsidR="004D3020" w:rsidRPr="0098517B">
        <w:t xml:space="preserve">Data </w:t>
      </w:r>
      <w:r w:rsidRPr="0098517B">
        <w:t>Fields</w:t>
      </w:r>
    </w:p>
    <w:p w:rsidR="00AD6114" w:rsidRPr="001F1486" w:rsidRDefault="00AD6114" w:rsidP="004E54B8">
      <w:pPr>
        <w:spacing w:after="240"/>
        <w:jc w:val="both"/>
        <w:rPr>
          <w:rFonts w:ascii="Arial" w:hAnsi="Arial" w:cs="Arial"/>
          <w:szCs w:val="24"/>
        </w:rPr>
      </w:pPr>
      <w:r w:rsidRPr="001F1486">
        <w:rPr>
          <w:rFonts w:ascii="Arial" w:hAnsi="Arial" w:cs="Arial"/>
          <w:szCs w:val="24"/>
        </w:rPr>
        <w:t>The fields in the various Tax Expenditure files are the following:</w:t>
      </w:r>
    </w:p>
    <w:p w:rsidR="0099794B" w:rsidRPr="001F1486" w:rsidRDefault="0099794B" w:rsidP="004E54B8">
      <w:pPr>
        <w:spacing w:after="240"/>
        <w:jc w:val="both"/>
        <w:rPr>
          <w:rFonts w:ascii="Arial" w:hAnsi="Arial" w:cs="Arial"/>
          <w:szCs w:val="24"/>
        </w:rPr>
      </w:pPr>
      <w:r w:rsidRPr="001F1486">
        <w:rPr>
          <w:rFonts w:ascii="Arial" w:hAnsi="Arial" w:cs="Arial"/>
          <w:b/>
          <w:szCs w:val="24"/>
        </w:rPr>
        <w:t>Title:</w:t>
      </w:r>
      <w:r w:rsidR="004E54B8">
        <w:rPr>
          <w:rFonts w:ascii="Arial" w:hAnsi="Arial" w:cs="Arial"/>
          <w:szCs w:val="24"/>
        </w:rPr>
        <w:t xml:space="preserve"> </w:t>
      </w:r>
      <w:r w:rsidRPr="001F1486">
        <w:rPr>
          <w:rFonts w:ascii="Arial" w:hAnsi="Arial" w:cs="Arial"/>
          <w:szCs w:val="24"/>
        </w:rPr>
        <w:t>Expenditure name</w:t>
      </w:r>
    </w:p>
    <w:p w:rsidR="0099794B" w:rsidRPr="001F1486" w:rsidRDefault="0099794B" w:rsidP="004E54B8">
      <w:pPr>
        <w:spacing w:after="240"/>
        <w:jc w:val="both"/>
        <w:rPr>
          <w:rFonts w:ascii="Arial" w:hAnsi="Arial" w:cs="Arial"/>
          <w:szCs w:val="24"/>
        </w:rPr>
      </w:pPr>
      <w:r w:rsidRPr="001F1486">
        <w:rPr>
          <w:rFonts w:ascii="Arial" w:hAnsi="Arial" w:cs="Arial"/>
          <w:b/>
          <w:szCs w:val="24"/>
        </w:rPr>
        <w:t>Tax Type:</w:t>
      </w:r>
      <w:r w:rsidRPr="001F1486">
        <w:rPr>
          <w:rFonts w:ascii="Arial" w:hAnsi="Arial" w:cs="Arial"/>
          <w:szCs w:val="24"/>
        </w:rPr>
        <w:t xml:space="preserve"> Tax base affected by the expenditure</w:t>
      </w:r>
    </w:p>
    <w:p w:rsidR="0099794B" w:rsidRPr="001F1486" w:rsidRDefault="0099794B" w:rsidP="004E54B8">
      <w:pPr>
        <w:spacing w:after="240"/>
        <w:jc w:val="both"/>
        <w:rPr>
          <w:rFonts w:ascii="Arial" w:hAnsi="Arial" w:cs="Arial"/>
          <w:szCs w:val="24"/>
        </w:rPr>
      </w:pPr>
      <w:r w:rsidRPr="001F1486">
        <w:rPr>
          <w:rFonts w:ascii="Arial" w:hAnsi="Arial" w:cs="Arial"/>
          <w:b/>
          <w:szCs w:val="24"/>
        </w:rPr>
        <w:t>Expenditure Category:</w:t>
      </w:r>
      <w:r w:rsidRPr="001F1486">
        <w:rPr>
          <w:rFonts w:ascii="Arial" w:hAnsi="Arial" w:cs="Arial"/>
          <w:szCs w:val="24"/>
        </w:rPr>
        <w:t xml:space="preserve"> Broad group of expenditure purpose</w:t>
      </w:r>
    </w:p>
    <w:p w:rsidR="0099794B" w:rsidRPr="001F1486" w:rsidRDefault="0099794B" w:rsidP="004E54B8">
      <w:pPr>
        <w:spacing w:after="240"/>
        <w:jc w:val="both"/>
        <w:rPr>
          <w:rFonts w:ascii="Arial" w:hAnsi="Arial" w:cs="Arial"/>
          <w:szCs w:val="24"/>
        </w:rPr>
      </w:pPr>
      <w:r w:rsidRPr="001F1486">
        <w:rPr>
          <w:rFonts w:ascii="Arial" w:hAnsi="Arial" w:cs="Arial"/>
          <w:b/>
          <w:szCs w:val="24"/>
        </w:rPr>
        <w:t>Expenditure Type:</w:t>
      </w:r>
      <w:r w:rsidRPr="001F1486">
        <w:rPr>
          <w:rFonts w:ascii="Arial" w:hAnsi="Arial" w:cs="Arial"/>
          <w:szCs w:val="24"/>
        </w:rPr>
        <w:t xml:space="preserve"> Exemption; Partial Exemption; Credit; Deduction; Federal Base (expenditure is a result of the State of Iowa coupling with the Internal Revenue Code)</w:t>
      </w:r>
      <w:r w:rsidR="004E54B8">
        <w:rPr>
          <w:rFonts w:ascii="Arial" w:hAnsi="Arial" w:cs="Arial"/>
          <w:szCs w:val="24"/>
        </w:rPr>
        <w:t xml:space="preserve"> </w:t>
      </w:r>
    </w:p>
    <w:p w:rsidR="0099794B" w:rsidRPr="001F1486" w:rsidRDefault="0099794B" w:rsidP="004E54B8">
      <w:pPr>
        <w:spacing w:after="240"/>
        <w:jc w:val="both"/>
        <w:rPr>
          <w:rFonts w:ascii="Arial" w:hAnsi="Arial" w:cs="Arial"/>
          <w:szCs w:val="24"/>
        </w:rPr>
      </w:pPr>
      <w:r w:rsidRPr="001F1486">
        <w:rPr>
          <w:rFonts w:ascii="Arial" w:hAnsi="Arial" w:cs="Arial"/>
          <w:b/>
          <w:szCs w:val="24"/>
        </w:rPr>
        <w:t xml:space="preserve">Iowa Code Citation: </w:t>
      </w:r>
      <w:r w:rsidRPr="001F1486">
        <w:rPr>
          <w:rFonts w:ascii="Arial" w:hAnsi="Arial" w:cs="Arial"/>
          <w:szCs w:val="24"/>
        </w:rPr>
        <w:t>Chapter and section containing the expenditure</w:t>
      </w:r>
    </w:p>
    <w:p w:rsidR="0099794B" w:rsidRPr="001F1486" w:rsidRDefault="0099794B" w:rsidP="004E54B8">
      <w:pPr>
        <w:spacing w:after="240"/>
        <w:jc w:val="both"/>
        <w:rPr>
          <w:rFonts w:ascii="Arial" w:hAnsi="Arial" w:cs="Arial"/>
          <w:szCs w:val="24"/>
        </w:rPr>
      </w:pPr>
      <w:r w:rsidRPr="001F1486">
        <w:rPr>
          <w:rFonts w:ascii="Arial" w:hAnsi="Arial" w:cs="Arial"/>
          <w:b/>
          <w:szCs w:val="24"/>
        </w:rPr>
        <w:t>Iowa Administrative Code Citation:</w:t>
      </w:r>
      <w:r w:rsidRPr="001F1486">
        <w:rPr>
          <w:rFonts w:ascii="Arial" w:hAnsi="Arial" w:cs="Arial"/>
          <w:szCs w:val="24"/>
        </w:rPr>
        <w:t xml:space="preserve"> Chapter and section containing the rules used to administer the expenditure</w:t>
      </w:r>
    </w:p>
    <w:p w:rsidR="0099794B" w:rsidRPr="001F1486" w:rsidRDefault="0099794B" w:rsidP="004E54B8">
      <w:pPr>
        <w:spacing w:after="240"/>
        <w:jc w:val="both"/>
        <w:rPr>
          <w:rFonts w:ascii="Arial" w:hAnsi="Arial" w:cs="Arial"/>
          <w:szCs w:val="24"/>
        </w:rPr>
      </w:pPr>
      <w:r w:rsidRPr="001F1486">
        <w:rPr>
          <w:rFonts w:ascii="Arial" w:hAnsi="Arial" w:cs="Arial"/>
          <w:b/>
          <w:szCs w:val="24"/>
        </w:rPr>
        <w:t>Description:</w:t>
      </w:r>
      <w:r w:rsidRPr="001F1486">
        <w:rPr>
          <w:rFonts w:ascii="Arial" w:hAnsi="Arial" w:cs="Arial"/>
          <w:szCs w:val="24"/>
        </w:rPr>
        <w:t xml:space="preserve"> Details about the expenditure</w:t>
      </w:r>
    </w:p>
    <w:p w:rsidR="0099794B" w:rsidRPr="001F1486" w:rsidRDefault="0099794B" w:rsidP="004E54B8">
      <w:pPr>
        <w:spacing w:after="240"/>
        <w:jc w:val="both"/>
        <w:rPr>
          <w:rFonts w:ascii="Arial" w:hAnsi="Arial" w:cs="Arial"/>
          <w:szCs w:val="24"/>
        </w:rPr>
      </w:pPr>
      <w:r w:rsidRPr="001F1486">
        <w:rPr>
          <w:rFonts w:ascii="Arial" w:hAnsi="Arial" w:cs="Arial"/>
          <w:b/>
          <w:szCs w:val="24"/>
        </w:rPr>
        <w:t>Final Result:</w:t>
      </w:r>
      <w:r w:rsidRPr="001F1486">
        <w:rPr>
          <w:rFonts w:ascii="Arial" w:hAnsi="Arial" w:cs="Arial"/>
          <w:szCs w:val="24"/>
        </w:rPr>
        <w:t xml:space="preserve"> Result of efforts to estimate the value of the expenditure including Estimated; Estimated – Minimal (estimate was less than $100,000); Not Estimated (data not available to make a reasonable estimate); See Description (expenditure included in another expenditure estimate indicated in the Description field)</w:t>
      </w:r>
    </w:p>
    <w:p w:rsidR="0099794B" w:rsidRPr="001F1486" w:rsidRDefault="0099794B" w:rsidP="004E54B8">
      <w:pPr>
        <w:spacing w:after="240"/>
        <w:jc w:val="both"/>
        <w:rPr>
          <w:rFonts w:ascii="Arial" w:hAnsi="Arial" w:cs="Arial"/>
          <w:szCs w:val="24"/>
        </w:rPr>
      </w:pPr>
      <w:r w:rsidRPr="001F1486">
        <w:rPr>
          <w:rFonts w:ascii="Arial" w:hAnsi="Arial" w:cs="Arial"/>
          <w:b/>
          <w:szCs w:val="24"/>
        </w:rPr>
        <w:t>Assessment Change Value:</w:t>
      </w:r>
      <w:r w:rsidRPr="001F1486">
        <w:rPr>
          <w:rFonts w:ascii="Arial" w:hAnsi="Arial" w:cs="Arial"/>
          <w:szCs w:val="24"/>
        </w:rPr>
        <w:t xml:space="preserve"> Property Tax </w:t>
      </w:r>
      <w:r w:rsidR="00B85BBE">
        <w:rPr>
          <w:rFonts w:ascii="Arial" w:hAnsi="Arial" w:cs="Arial"/>
          <w:szCs w:val="24"/>
        </w:rPr>
        <w:t>O</w:t>
      </w:r>
      <w:r w:rsidRPr="001F1486">
        <w:rPr>
          <w:rFonts w:ascii="Arial" w:hAnsi="Arial" w:cs="Arial"/>
          <w:szCs w:val="24"/>
        </w:rPr>
        <w:t>nly – Estimated change in the assessment of property values subject to various property tax levy rates as a result of the exemption; rounded to the nearest one hundred thousand</w:t>
      </w:r>
    </w:p>
    <w:p w:rsidR="0099794B" w:rsidRPr="001F1486" w:rsidRDefault="0099794B" w:rsidP="004E54B8">
      <w:pPr>
        <w:spacing w:after="240"/>
        <w:jc w:val="both"/>
        <w:rPr>
          <w:rFonts w:ascii="Arial" w:hAnsi="Arial" w:cs="Arial"/>
          <w:szCs w:val="24"/>
        </w:rPr>
      </w:pPr>
      <w:r w:rsidRPr="001F1486">
        <w:rPr>
          <w:rFonts w:ascii="Arial" w:hAnsi="Arial" w:cs="Arial"/>
          <w:b/>
          <w:szCs w:val="24"/>
        </w:rPr>
        <w:t>Tax Expenditure Value:</w:t>
      </w:r>
      <w:r w:rsidRPr="001F1486">
        <w:rPr>
          <w:rFonts w:ascii="Arial" w:hAnsi="Arial" w:cs="Arial"/>
          <w:szCs w:val="24"/>
        </w:rPr>
        <w:t xml:space="preserve"> Estimated reduction in taxes collected as a result of the exemption, credit, or deduction; rounded to the nearest one hundred thousand</w:t>
      </w:r>
    </w:p>
    <w:p w:rsidR="0099794B" w:rsidRPr="001F1486" w:rsidRDefault="0099794B" w:rsidP="004E54B8">
      <w:pPr>
        <w:spacing w:after="240"/>
        <w:jc w:val="both"/>
        <w:rPr>
          <w:rFonts w:ascii="Arial" w:hAnsi="Arial" w:cs="Arial"/>
          <w:szCs w:val="24"/>
        </w:rPr>
      </w:pPr>
      <w:r w:rsidRPr="001F1486">
        <w:rPr>
          <w:rFonts w:ascii="Arial" w:hAnsi="Arial" w:cs="Arial"/>
          <w:b/>
          <w:szCs w:val="24"/>
        </w:rPr>
        <w:t>Estimate Year:</w:t>
      </w:r>
      <w:r w:rsidR="004E54B8">
        <w:rPr>
          <w:rFonts w:ascii="Arial" w:hAnsi="Arial" w:cs="Arial"/>
          <w:szCs w:val="24"/>
        </w:rPr>
        <w:t xml:space="preserve"> </w:t>
      </w:r>
      <w:r w:rsidRPr="001F1486">
        <w:rPr>
          <w:rFonts w:ascii="Arial" w:hAnsi="Arial" w:cs="Arial"/>
          <w:szCs w:val="24"/>
        </w:rPr>
        <w:t>The year the expenditure is estimated to reduce revenues</w:t>
      </w:r>
    </w:p>
    <w:p w:rsidR="00596ED6" w:rsidRPr="0022122C" w:rsidRDefault="00DA7A7F" w:rsidP="0098517B">
      <w:pPr>
        <w:pStyle w:val="Heading1"/>
      </w:pPr>
      <w:bookmarkStart w:id="46" w:name="_Toc516382375"/>
      <w:bookmarkStart w:id="47" w:name="_Toc516383283"/>
      <w:bookmarkStart w:id="48" w:name="_Toc516384732"/>
      <w:bookmarkStart w:id="49" w:name="_Toc516384904"/>
      <w:bookmarkStart w:id="50" w:name="_Toc516385213"/>
      <w:bookmarkStart w:id="51" w:name="_Toc517239525"/>
      <w:bookmarkStart w:id="52" w:name="_Toc517248309"/>
      <w:bookmarkStart w:id="53" w:name="_Toc517248531"/>
      <w:bookmarkStart w:id="54" w:name="_Toc517248602"/>
      <w:bookmarkStart w:id="55" w:name="_Toc517505241"/>
      <w:bookmarkStart w:id="56" w:name="_Toc517507499"/>
      <w:bookmarkStart w:id="57" w:name="_Toc517580160"/>
      <w:bookmarkStart w:id="58" w:name="_Toc517581345"/>
      <w:bookmarkStart w:id="59" w:name="_Toc517597061"/>
      <w:bookmarkStart w:id="60" w:name="_Toc518109471"/>
      <w:bookmarkStart w:id="61" w:name="_Toc518110112"/>
      <w:bookmarkStart w:id="62" w:name="_Toc518200091"/>
      <w:bookmarkStart w:id="63" w:name="_Toc518275705"/>
      <w:bookmarkStart w:id="64" w:name="_Toc519499958"/>
      <w:bookmarkStart w:id="65" w:name="_Toc519561690"/>
      <w:bookmarkStart w:id="66" w:name="_Toc519570979"/>
      <w:bookmarkStart w:id="67" w:name="_Toc219790795"/>
      <w:r>
        <w:br w:type="page"/>
      </w:r>
      <w:bookmarkStart w:id="68" w:name="_Toc220832042"/>
      <w:bookmarkStart w:id="69" w:name="_Toc220832253"/>
      <w:r w:rsidR="00596ED6" w:rsidRPr="0022122C">
        <w:lastRenderedPageBreak/>
        <w:t>Tax Base Descriptions and History</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00193C12">
        <w:fldChar w:fldCharType="begin"/>
      </w:r>
      <w:r w:rsidR="00193C12">
        <w:instrText xml:space="preserve"> TC "</w:instrText>
      </w:r>
      <w:bookmarkStart w:id="70" w:name="_Toc219790796"/>
      <w:bookmarkStart w:id="71" w:name="_Toc220832043"/>
      <w:bookmarkStart w:id="72" w:name="_Toc220832254"/>
      <w:r w:rsidR="00193C12" w:rsidRPr="006F42D1">
        <w:instrText>Tax Base Descriptions and History</w:instrText>
      </w:r>
      <w:bookmarkEnd w:id="70"/>
      <w:bookmarkEnd w:id="71"/>
      <w:bookmarkEnd w:id="72"/>
      <w:r w:rsidR="00193C12">
        <w:instrText xml:space="preserve">" \f C \l "1" </w:instrText>
      </w:r>
      <w:r w:rsidR="00193C12">
        <w:fldChar w:fldCharType="end"/>
      </w:r>
    </w:p>
    <w:p w:rsidR="00596ED6" w:rsidRPr="00DB0495" w:rsidRDefault="00596ED6" w:rsidP="007D4DD8">
      <w:pPr>
        <w:spacing w:after="240"/>
        <w:jc w:val="both"/>
        <w:rPr>
          <w:rFonts w:ascii="Arial" w:hAnsi="Arial" w:cs="Arial"/>
          <w:szCs w:val="24"/>
        </w:rPr>
      </w:pPr>
      <w:r w:rsidRPr="00DB0495">
        <w:rPr>
          <w:rFonts w:ascii="Arial" w:hAnsi="Arial" w:cs="Arial"/>
          <w:szCs w:val="24"/>
        </w:rPr>
        <w:t xml:space="preserve">Before considering </w:t>
      </w:r>
      <w:r w:rsidR="00486226" w:rsidRPr="00DB0495">
        <w:rPr>
          <w:rFonts w:ascii="Arial" w:hAnsi="Arial" w:cs="Arial"/>
          <w:szCs w:val="24"/>
        </w:rPr>
        <w:t>any</w:t>
      </w:r>
      <w:r w:rsidR="00616C37" w:rsidRPr="00DB0495">
        <w:rPr>
          <w:rFonts w:ascii="Arial" w:hAnsi="Arial" w:cs="Arial"/>
          <w:szCs w:val="24"/>
        </w:rPr>
        <w:t xml:space="preserve"> exceptions to the tax base</w:t>
      </w:r>
      <w:r w:rsidRPr="00DB0495">
        <w:rPr>
          <w:rFonts w:ascii="Arial" w:hAnsi="Arial" w:cs="Arial"/>
          <w:szCs w:val="24"/>
        </w:rPr>
        <w:t xml:space="preserve">, a general description of the current tax base and </w:t>
      </w:r>
      <w:r w:rsidR="00B67854" w:rsidRPr="00DB0495">
        <w:rPr>
          <w:rFonts w:ascii="Arial" w:hAnsi="Arial" w:cs="Arial"/>
          <w:szCs w:val="24"/>
        </w:rPr>
        <w:t xml:space="preserve">rates and </w:t>
      </w:r>
      <w:r w:rsidRPr="00DB0495">
        <w:rPr>
          <w:rFonts w:ascii="Arial" w:hAnsi="Arial" w:cs="Arial"/>
          <w:szCs w:val="24"/>
        </w:rPr>
        <w:t xml:space="preserve">a short history </w:t>
      </w:r>
      <w:r w:rsidR="00063A25" w:rsidRPr="00DB0495">
        <w:rPr>
          <w:rFonts w:ascii="Arial" w:hAnsi="Arial" w:cs="Arial"/>
          <w:szCs w:val="24"/>
        </w:rPr>
        <w:t>are</w:t>
      </w:r>
      <w:r w:rsidRPr="00DB0495">
        <w:rPr>
          <w:rFonts w:ascii="Arial" w:hAnsi="Arial" w:cs="Arial"/>
          <w:szCs w:val="24"/>
        </w:rPr>
        <w:t xml:space="preserve"> provided.</w:t>
      </w:r>
      <w:r w:rsidR="004E54B8" w:rsidRPr="00DB0495">
        <w:rPr>
          <w:rFonts w:ascii="Arial" w:hAnsi="Arial" w:cs="Arial"/>
          <w:szCs w:val="24"/>
        </w:rPr>
        <w:t xml:space="preserve"> </w:t>
      </w:r>
      <w:r w:rsidRPr="00DB0495">
        <w:rPr>
          <w:rFonts w:ascii="Arial" w:hAnsi="Arial" w:cs="Arial"/>
          <w:szCs w:val="24"/>
        </w:rPr>
        <w:t xml:space="preserve">The following descriptions cover the taxes considered in this </w:t>
      </w:r>
      <w:r w:rsidR="00956406" w:rsidRPr="00DB0495">
        <w:rPr>
          <w:rFonts w:ascii="Arial" w:hAnsi="Arial" w:cs="Arial"/>
          <w:szCs w:val="24"/>
        </w:rPr>
        <w:t>study</w:t>
      </w:r>
      <w:r w:rsidRPr="00DB0495">
        <w:rPr>
          <w:rFonts w:ascii="Arial" w:hAnsi="Arial" w:cs="Arial"/>
          <w:szCs w:val="24"/>
        </w:rPr>
        <w:t>.</w:t>
      </w:r>
    </w:p>
    <w:p w:rsidR="001E6820" w:rsidRPr="00DB0495" w:rsidRDefault="001E6820" w:rsidP="0098517B">
      <w:pPr>
        <w:pStyle w:val="Heading2"/>
      </w:pPr>
      <w:bookmarkStart w:id="73" w:name="_Toc516382376"/>
      <w:bookmarkStart w:id="74" w:name="_Toc516383284"/>
      <w:bookmarkStart w:id="75" w:name="_Toc516384733"/>
      <w:bookmarkStart w:id="76" w:name="_Toc516384905"/>
      <w:bookmarkStart w:id="77" w:name="_Toc516385214"/>
      <w:bookmarkStart w:id="78" w:name="_Toc517239529"/>
      <w:bookmarkStart w:id="79" w:name="_Toc517248313"/>
      <w:bookmarkStart w:id="80" w:name="_Toc517248535"/>
      <w:bookmarkStart w:id="81" w:name="_Toc517248606"/>
      <w:bookmarkStart w:id="82" w:name="_Toc517505245"/>
      <w:bookmarkStart w:id="83" w:name="_Toc517507503"/>
      <w:bookmarkStart w:id="84" w:name="_Toc517580164"/>
      <w:bookmarkStart w:id="85" w:name="_Toc517581349"/>
      <w:bookmarkStart w:id="86" w:name="_Toc517597065"/>
      <w:bookmarkStart w:id="87" w:name="_Toc518109475"/>
      <w:bookmarkStart w:id="88" w:name="_Toc518110116"/>
      <w:bookmarkStart w:id="89" w:name="_Toc518200093"/>
      <w:bookmarkStart w:id="90" w:name="_Toc518275709"/>
      <w:bookmarkStart w:id="91" w:name="_Toc519499962"/>
      <w:bookmarkStart w:id="92" w:name="_Toc519561694"/>
      <w:bookmarkStart w:id="93" w:name="_Toc519570983"/>
      <w:bookmarkStart w:id="94" w:name="_Toc219790798"/>
      <w:bookmarkStart w:id="95" w:name="_Toc220832045"/>
      <w:bookmarkStart w:id="96" w:name="_Toc220832256"/>
      <w:r w:rsidRPr="00DB0495">
        <w:t>Individual Income Tax</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1E6820" w:rsidRPr="00DB0495" w:rsidRDefault="001E6820" w:rsidP="007D4DD8">
      <w:pPr>
        <w:spacing w:after="240"/>
        <w:jc w:val="both"/>
        <w:rPr>
          <w:rFonts w:ascii="Arial" w:hAnsi="Arial" w:cs="Arial"/>
          <w:szCs w:val="24"/>
        </w:rPr>
      </w:pPr>
      <w:r w:rsidRPr="00DB0495">
        <w:rPr>
          <w:rFonts w:ascii="Arial" w:hAnsi="Arial" w:cs="Arial"/>
          <w:szCs w:val="24"/>
        </w:rPr>
        <w:t>The Iowa individual income tax was enacted in 1934 and is imposed on Iowa net income of individuals, estates, and trusts.</w:t>
      </w:r>
      <w:r w:rsidR="004E54B8" w:rsidRPr="00DB0495">
        <w:rPr>
          <w:rFonts w:ascii="Arial" w:hAnsi="Arial" w:cs="Arial"/>
          <w:szCs w:val="24"/>
        </w:rPr>
        <w:t xml:space="preserve"> </w:t>
      </w:r>
      <w:r w:rsidRPr="00DB0495">
        <w:rPr>
          <w:rFonts w:ascii="Arial" w:hAnsi="Arial" w:cs="Arial"/>
          <w:szCs w:val="24"/>
        </w:rPr>
        <w:t>Indiv</w:t>
      </w:r>
      <w:r w:rsidR="003D2CC7">
        <w:rPr>
          <w:rFonts w:ascii="Arial" w:hAnsi="Arial" w:cs="Arial"/>
          <w:szCs w:val="24"/>
        </w:rPr>
        <w:t>iduals may also be subject to a</w:t>
      </w:r>
      <w:r w:rsidRPr="00DB0495">
        <w:rPr>
          <w:rFonts w:ascii="Arial" w:hAnsi="Arial" w:cs="Arial"/>
          <w:szCs w:val="24"/>
        </w:rPr>
        <w:t xml:space="preserve"> minimum tax and a tax on lump-sum distributions from qualified retirement plans.</w:t>
      </w:r>
    </w:p>
    <w:p w:rsidR="001E6820" w:rsidRDefault="00155CE3" w:rsidP="007D4DD8">
      <w:pPr>
        <w:spacing w:after="240"/>
        <w:jc w:val="both"/>
        <w:rPr>
          <w:rFonts w:ascii="Arial" w:hAnsi="Arial" w:cs="Arial"/>
          <w:szCs w:val="24"/>
        </w:rPr>
      </w:pPr>
      <w:r w:rsidRPr="00155CE3">
        <w:rPr>
          <w:rFonts w:ascii="Arial" w:hAnsi="Arial" w:cs="Arial"/>
          <w:szCs w:val="24"/>
        </w:rPr>
        <w:t xml:space="preserve">For the Iowa individual income tax, adjusted gross income is calculated in much the same way as for federal income tax purposes. </w:t>
      </w:r>
      <w:r w:rsidR="001E6820" w:rsidRPr="00DB0495">
        <w:rPr>
          <w:rFonts w:ascii="Arial" w:hAnsi="Arial" w:cs="Arial"/>
          <w:szCs w:val="24"/>
        </w:rPr>
        <w:t>This means that Iowa net income generally conforms to federal definitions of sources included in income as well as adjustments to gross income.</w:t>
      </w:r>
      <w:r w:rsidR="004E54B8" w:rsidRPr="00DB0495">
        <w:rPr>
          <w:rFonts w:ascii="Arial" w:hAnsi="Arial" w:cs="Arial"/>
          <w:szCs w:val="24"/>
        </w:rPr>
        <w:t xml:space="preserve"> </w:t>
      </w:r>
      <w:r w:rsidR="001E6820" w:rsidRPr="00DB0495">
        <w:rPr>
          <w:rFonts w:ascii="Arial" w:hAnsi="Arial" w:cs="Arial"/>
          <w:szCs w:val="24"/>
        </w:rPr>
        <w:t>The history of individual income tax rates and tax brackets is presented in the table below.</w:t>
      </w:r>
    </w:p>
    <w:p w:rsidR="007D4DD8" w:rsidRPr="007D4DD8" w:rsidRDefault="007D4DD8" w:rsidP="00C96C55">
      <w:pPr>
        <w:jc w:val="center"/>
        <w:rPr>
          <w:rFonts w:ascii="Arial" w:hAnsi="Arial" w:cs="Arial"/>
          <w:b/>
          <w:szCs w:val="24"/>
        </w:rPr>
      </w:pPr>
      <w:r w:rsidRPr="007D4DD8">
        <w:rPr>
          <w:rFonts w:ascii="Arial" w:hAnsi="Arial" w:cs="Arial"/>
          <w:b/>
          <w:szCs w:val="24"/>
        </w:rPr>
        <w:t>History of Iowa Individual Income Tax Rates and Brackets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470"/>
      </w:tblGrid>
      <w:tr w:rsidR="001E6820" w:rsidRPr="00DB0495" w:rsidTr="00873A22">
        <w:trPr>
          <w:tblHeader/>
        </w:trPr>
        <w:tc>
          <w:tcPr>
            <w:tcW w:w="1998" w:type="dxa"/>
            <w:tcBorders>
              <w:top w:val="single" w:sz="12" w:space="0" w:color="auto"/>
              <w:left w:val="nil"/>
              <w:bottom w:val="single" w:sz="12" w:space="0" w:color="auto"/>
              <w:right w:val="single" w:sz="12" w:space="0" w:color="auto"/>
            </w:tcBorders>
            <w:shd w:val="clear" w:color="auto" w:fill="auto"/>
            <w:vAlign w:val="center"/>
          </w:tcPr>
          <w:p w:rsidR="001E6820" w:rsidRPr="00DB0495" w:rsidRDefault="003E7344" w:rsidP="003E7344">
            <w:pPr>
              <w:jc w:val="center"/>
              <w:rPr>
                <w:rFonts w:ascii="Arial" w:hAnsi="Arial" w:cs="Arial"/>
                <w:b/>
                <w:szCs w:val="24"/>
              </w:rPr>
            </w:pPr>
            <w:r>
              <w:rPr>
                <w:rFonts w:ascii="Arial" w:hAnsi="Arial" w:cs="Arial"/>
                <w:b/>
                <w:szCs w:val="24"/>
              </w:rPr>
              <w:t xml:space="preserve">Tax </w:t>
            </w:r>
            <w:r w:rsidR="001E6820" w:rsidRPr="00DB0495">
              <w:rPr>
                <w:rFonts w:ascii="Arial" w:hAnsi="Arial" w:cs="Arial"/>
                <w:b/>
                <w:szCs w:val="24"/>
              </w:rPr>
              <w:t>Year</w:t>
            </w:r>
          </w:p>
        </w:tc>
        <w:tc>
          <w:tcPr>
            <w:tcW w:w="7470" w:type="dxa"/>
            <w:tcBorders>
              <w:top w:val="single" w:sz="12" w:space="0" w:color="auto"/>
              <w:left w:val="single" w:sz="12" w:space="0" w:color="auto"/>
              <w:bottom w:val="single" w:sz="12" w:space="0" w:color="auto"/>
              <w:right w:val="nil"/>
            </w:tcBorders>
            <w:shd w:val="clear" w:color="auto" w:fill="auto"/>
            <w:vAlign w:val="center"/>
          </w:tcPr>
          <w:p w:rsidR="001E6820" w:rsidRPr="00DB0495" w:rsidRDefault="001E6820" w:rsidP="00873A22">
            <w:pPr>
              <w:jc w:val="both"/>
              <w:rPr>
                <w:rFonts w:ascii="Arial" w:hAnsi="Arial" w:cs="Arial"/>
                <w:b/>
                <w:szCs w:val="24"/>
              </w:rPr>
            </w:pPr>
            <w:r w:rsidRPr="00DB0495">
              <w:rPr>
                <w:rFonts w:ascii="Arial" w:hAnsi="Arial" w:cs="Arial"/>
                <w:b/>
                <w:szCs w:val="24"/>
              </w:rPr>
              <w:t>Rates and Income Tax Bracket</w:t>
            </w:r>
          </w:p>
        </w:tc>
      </w:tr>
      <w:tr w:rsidR="001E6820" w:rsidRPr="00DB0495" w:rsidTr="00873A22">
        <w:tc>
          <w:tcPr>
            <w:tcW w:w="1998" w:type="dxa"/>
            <w:tcBorders>
              <w:top w:val="single" w:sz="12" w:space="0" w:color="auto"/>
              <w:left w:val="nil"/>
            </w:tcBorders>
            <w:vAlign w:val="center"/>
          </w:tcPr>
          <w:p w:rsidR="001E6820" w:rsidRPr="00DB0495" w:rsidRDefault="001E6820" w:rsidP="00043E32">
            <w:pPr>
              <w:jc w:val="center"/>
              <w:rPr>
                <w:rFonts w:ascii="Arial" w:hAnsi="Arial" w:cs="Arial"/>
                <w:szCs w:val="24"/>
              </w:rPr>
            </w:pPr>
            <w:r w:rsidRPr="00DB0495">
              <w:rPr>
                <w:rFonts w:ascii="Arial" w:hAnsi="Arial" w:cs="Arial"/>
                <w:szCs w:val="24"/>
              </w:rPr>
              <w:t>1934</w:t>
            </w:r>
          </w:p>
        </w:tc>
        <w:tc>
          <w:tcPr>
            <w:tcW w:w="7470" w:type="dxa"/>
            <w:tcBorders>
              <w:top w:val="single" w:sz="12" w:space="0" w:color="auto"/>
              <w:right w:val="nil"/>
            </w:tcBorders>
            <w:vAlign w:val="center"/>
          </w:tcPr>
          <w:p w:rsidR="001E6820" w:rsidRPr="00DB0495" w:rsidRDefault="001E6820" w:rsidP="007A0F5D">
            <w:pPr>
              <w:jc w:val="both"/>
              <w:rPr>
                <w:rFonts w:ascii="Arial" w:hAnsi="Arial" w:cs="Arial"/>
                <w:szCs w:val="24"/>
              </w:rPr>
            </w:pPr>
            <w:r w:rsidRPr="00DB0495">
              <w:rPr>
                <w:rFonts w:ascii="Arial" w:hAnsi="Arial" w:cs="Arial"/>
                <w:szCs w:val="24"/>
              </w:rPr>
              <w:t xml:space="preserve">Graduated rates imposed ranging from 1.0% to 5.0% over 5 taxable income </w:t>
            </w:r>
            <w:r w:rsidR="00873A22">
              <w:rPr>
                <w:rFonts w:ascii="Arial" w:hAnsi="Arial" w:cs="Arial"/>
                <w:szCs w:val="24"/>
              </w:rPr>
              <w:t>brackets with a top bracket of $</w:t>
            </w:r>
            <w:r w:rsidR="007A0F5D">
              <w:rPr>
                <w:rFonts w:ascii="Arial" w:hAnsi="Arial" w:cs="Arial"/>
                <w:szCs w:val="24"/>
              </w:rPr>
              <w:t>4</w:t>
            </w:r>
            <w:r w:rsidR="00873A22">
              <w:rPr>
                <w:rFonts w:ascii="Arial" w:hAnsi="Arial" w:cs="Arial"/>
                <w:szCs w:val="24"/>
              </w:rPr>
              <w:t>,000</w:t>
            </w:r>
          </w:p>
        </w:tc>
      </w:tr>
      <w:tr w:rsidR="001E6820" w:rsidRPr="00DB0495" w:rsidTr="00873A22">
        <w:tc>
          <w:tcPr>
            <w:tcW w:w="1998" w:type="dxa"/>
            <w:tcBorders>
              <w:left w:val="nil"/>
            </w:tcBorders>
            <w:vAlign w:val="center"/>
          </w:tcPr>
          <w:p w:rsidR="001E6820" w:rsidRPr="00DB0495" w:rsidRDefault="001E6820" w:rsidP="00043E32">
            <w:pPr>
              <w:jc w:val="center"/>
              <w:rPr>
                <w:rFonts w:ascii="Arial" w:hAnsi="Arial" w:cs="Arial"/>
                <w:szCs w:val="24"/>
              </w:rPr>
            </w:pPr>
            <w:r w:rsidRPr="00DB0495">
              <w:rPr>
                <w:rFonts w:ascii="Arial" w:hAnsi="Arial" w:cs="Arial"/>
                <w:szCs w:val="24"/>
              </w:rPr>
              <w:t>1953</w:t>
            </w:r>
          </w:p>
        </w:tc>
        <w:tc>
          <w:tcPr>
            <w:tcW w:w="7470" w:type="dxa"/>
            <w:tcBorders>
              <w:right w:val="nil"/>
            </w:tcBorders>
            <w:vAlign w:val="center"/>
          </w:tcPr>
          <w:p w:rsidR="001E6820" w:rsidRPr="00DB0495" w:rsidRDefault="001E6820" w:rsidP="007A0F5D">
            <w:pPr>
              <w:jc w:val="both"/>
              <w:rPr>
                <w:rFonts w:ascii="Arial" w:hAnsi="Arial" w:cs="Arial"/>
                <w:szCs w:val="24"/>
              </w:rPr>
            </w:pPr>
            <w:r w:rsidRPr="00DB0495">
              <w:rPr>
                <w:rFonts w:ascii="Arial" w:hAnsi="Arial" w:cs="Arial"/>
                <w:szCs w:val="24"/>
              </w:rPr>
              <w:t xml:space="preserve">Rates lowered to range from 0.75% to 3.75% over </w:t>
            </w:r>
            <w:r w:rsidR="007A0F5D">
              <w:rPr>
                <w:rFonts w:ascii="Arial" w:hAnsi="Arial" w:cs="Arial"/>
                <w:szCs w:val="24"/>
              </w:rPr>
              <w:t>5</w:t>
            </w:r>
            <w:r w:rsidRPr="00DB0495">
              <w:rPr>
                <w:rFonts w:ascii="Arial" w:hAnsi="Arial" w:cs="Arial"/>
                <w:szCs w:val="24"/>
              </w:rPr>
              <w:t xml:space="preserve"> taxable income </w:t>
            </w:r>
            <w:r w:rsidR="00873A22">
              <w:rPr>
                <w:rFonts w:ascii="Arial" w:hAnsi="Arial" w:cs="Arial"/>
                <w:szCs w:val="24"/>
              </w:rPr>
              <w:t>brackets</w:t>
            </w:r>
            <w:r w:rsidR="007A0F5D">
              <w:rPr>
                <w:rFonts w:ascii="Arial" w:hAnsi="Arial" w:cs="Arial"/>
                <w:szCs w:val="24"/>
              </w:rPr>
              <w:t xml:space="preserve"> with top bracket raised to $5,000</w:t>
            </w:r>
          </w:p>
        </w:tc>
      </w:tr>
      <w:tr w:rsidR="001E6820" w:rsidRPr="00DB0495" w:rsidTr="00873A22">
        <w:tc>
          <w:tcPr>
            <w:tcW w:w="1998" w:type="dxa"/>
            <w:tcBorders>
              <w:left w:val="nil"/>
            </w:tcBorders>
            <w:vAlign w:val="center"/>
          </w:tcPr>
          <w:p w:rsidR="001E6820" w:rsidRPr="00DB0495" w:rsidRDefault="001E6820" w:rsidP="00043E32">
            <w:pPr>
              <w:jc w:val="center"/>
              <w:rPr>
                <w:rFonts w:ascii="Arial" w:hAnsi="Arial" w:cs="Arial"/>
                <w:szCs w:val="24"/>
              </w:rPr>
            </w:pPr>
            <w:r w:rsidRPr="00DB0495">
              <w:rPr>
                <w:rFonts w:ascii="Arial" w:hAnsi="Arial" w:cs="Arial"/>
                <w:szCs w:val="24"/>
              </w:rPr>
              <w:t>1955</w:t>
            </w:r>
          </w:p>
        </w:tc>
        <w:tc>
          <w:tcPr>
            <w:tcW w:w="7470" w:type="dxa"/>
            <w:tcBorders>
              <w:right w:val="nil"/>
            </w:tcBorders>
            <w:vAlign w:val="center"/>
          </w:tcPr>
          <w:p w:rsidR="001E6820" w:rsidRPr="00DB0495" w:rsidRDefault="001E6820" w:rsidP="00873A22">
            <w:pPr>
              <w:jc w:val="both"/>
              <w:rPr>
                <w:rFonts w:ascii="Arial" w:hAnsi="Arial" w:cs="Arial"/>
                <w:szCs w:val="24"/>
              </w:rPr>
            </w:pPr>
            <w:r w:rsidRPr="00DB0495">
              <w:rPr>
                <w:rFonts w:ascii="Arial" w:hAnsi="Arial" w:cs="Arial"/>
                <w:szCs w:val="24"/>
              </w:rPr>
              <w:t xml:space="preserve">Rates increased to range from 0.8% to 4.0% over 5 taxable income </w:t>
            </w:r>
            <w:r w:rsidR="00873A22">
              <w:rPr>
                <w:rFonts w:ascii="Arial" w:hAnsi="Arial" w:cs="Arial"/>
                <w:szCs w:val="24"/>
              </w:rPr>
              <w:t>brackets</w:t>
            </w:r>
            <w:r w:rsidRPr="00DB0495">
              <w:rPr>
                <w:rFonts w:ascii="Arial" w:hAnsi="Arial" w:cs="Arial"/>
                <w:szCs w:val="24"/>
              </w:rPr>
              <w:t xml:space="preserve"> with </w:t>
            </w:r>
            <w:r w:rsidR="00873A22">
              <w:rPr>
                <w:rFonts w:ascii="Arial" w:hAnsi="Arial" w:cs="Arial"/>
                <w:szCs w:val="24"/>
              </w:rPr>
              <w:t>th</w:t>
            </w:r>
            <w:r w:rsidRPr="00DB0495">
              <w:rPr>
                <w:rFonts w:ascii="Arial" w:hAnsi="Arial" w:cs="Arial"/>
                <w:szCs w:val="24"/>
              </w:rPr>
              <w:t>e top bracket lowered to $4,000</w:t>
            </w:r>
          </w:p>
        </w:tc>
      </w:tr>
      <w:tr w:rsidR="001E6820" w:rsidRPr="00DB0495" w:rsidTr="00873A22">
        <w:tc>
          <w:tcPr>
            <w:tcW w:w="1998" w:type="dxa"/>
            <w:tcBorders>
              <w:left w:val="nil"/>
            </w:tcBorders>
            <w:vAlign w:val="center"/>
          </w:tcPr>
          <w:p w:rsidR="001E6820" w:rsidRPr="00DB0495" w:rsidRDefault="001E6820" w:rsidP="00043E32">
            <w:pPr>
              <w:jc w:val="center"/>
              <w:rPr>
                <w:rFonts w:ascii="Arial" w:hAnsi="Arial" w:cs="Arial"/>
                <w:szCs w:val="24"/>
              </w:rPr>
            </w:pPr>
            <w:r w:rsidRPr="00DB0495">
              <w:rPr>
                <w:rFonts w:ascii="Arial" w:hAnsi="Arial" w:cs="Arial"/>
                <w:szCs w:val="24"/>
              </w:rPr>
              <w:t>1957</w:t>
            </w:r>
          </w:p>
        </w:tc>
        <w:tc>
          <w:tcPr>
            <w:tcW w:w="7470" w:type="dxa"/>
            <w:tcBorders>
              <w:right w:val="nil"/>
            </w:tcBorders>
            <w:vAlign w:val="center"/>
          </w:tcPr>
          <w:p w:rsidR="001E6820" w:rsidRPr="00DB0495" w:rsidRDefault="001E6820" w:rsidP="00873A22">
            <w:pPr>
              <w:jc w:val="both"/>
              <w:rPr>
                <w:rFonts w:ascii="Arial" w:hAnsi="Arial" w:cs="Arial"/>
                <w:szCs w:val="24"/>
              </w:rPr>
            </w:pPr>
            <w:r w:rsidRPr="00DB0495">
              <w:rPr>
                <w:rFonts w:ascii="Arial" w:hAnsi="Arial" w:cs="Arial"/>
                <w:szCs w:val="24"/>
              </w:rPr>
              <w:t xml:space="preserve">Rates lowered to range from 0.75% to 3.75% over the same taxable income </w:t>
            </w:r>
            <w:r w:rsidR="00873A22">
              <w:rPr>
                <w:rFonts w:ascii="Arial" w:hAnsi="Arial" w:cs="Arial"/>
                <w:szCs w:val="24"/>
              </w:rPr>
              <w:t>brackets</w:t>
            </w:r>
          </w:p>
        </w:tc>
      </w:tr>
      <w:tr w:rsidR="001E6820" w:rsidRPr="00DB0495" w:rsidTr="00873A22">
        <w:tc>
          <w:tcPr>
            <w:tcW w:w="1998" w:type="dxa"/>
            <w:tcBorders>
              <w:left w:val="nil"/>
            </w:tcBorders>
            <w:vAlign w:val="center"/>
          </w:tcPr>
          <w:p w:rsidR="001E6820" w:rsidRPr="00DB0495" w:rsidRDefault="001E6820" w:rsidP="00043E32">
            <w:pPr>
              <w:jc w:val="center"/>
              <w:rPr>
                <w:rFonts w:ascii="Arial" w:hAnsi="Arial" w:cs="Arial"/>
                <w:szCs w:val="24"/>
              </w:rPr>
            </w:pPr>
            <w:r w:rsidRPr="00DB0495">
              <w:rPr>
                <w:rFonts w:ascii="Arial" w:hAnsi="Arial" w:cs="Arial"/>
                <w:szCs w:val="24"/>
              </w:rPr>
              <w:t>1965</w:t>
            </w:r>
          </w:p>
        </w:tc>
        <w:tc>
          <w:tcPr>
            <w:tcW w:w="7470" w:type="dxa"/>
            <w:tcBorders>
              <w:right w:val="nil"/>
            </w:tcBorders>
            <w:vAlign w:val="center"/>
          </w:tcPr>
          <w:p w:rsidR="001E6820" w:rsidRPr="00DB0495" w:rsidRDefault="001E6820" w:rsidP="005A5C99">
            <w:pPr>
              <w:jc w:val="both"/>
              <w:rPr>
                <w:rFonts w:ascii="Arial" w:hAnsi="Arial" w:cs="Arial"/>
                <w:szCs w:val="24"/>
              </w:rPr>
            </w:pPr>
            <w:r w:rsidRPr="00DB0495">
              <w:rPr>
                <w:rFonts w:ascii="Arial" w:hAnsi="Arial" w:cs="Arial"/>
                <w:szCs w:val="24"/>
              </w:rPr>
              <w:t xml:space="preserve">Rate changed to range from 0.75% to 4.5% over </w:t>
            </w:r>
            <w:r w:rsidR="005A5C99">
              <w:rPr>
                <w:rFonts w:ascii="Arial" w:hAnsi="Arial" w:cs="Arial"/>
                <w:szCs w:val="24"/>
              </w:rPr>
              <w:t>6</w:t>
            </w:r>
            <w:r w:rsidRPr="00DB0495">
              <w:rPr>
                <w:rFonts w:ascii="Arial" w:hAnsi="Arial" w:cs="Arial"/>
                <w:szCs w:val="24"/>
              </w:rPr>
              <w:t xml:space="preserve"> taxable income </w:t>
            </w:r>
            <w:r w:rsidR="00873A22">
              <w:rPr>
                <w:rFonts w:ascii="Arial" w:hAnsi="Arial" w:cs="Arial"/>
                <w:szCs w:val="24"/>
              </w:rPr>
              <w:t>brackets</w:t>
            </w:r>
            <w:r w:rsidRPr="00DB0495">
              <w:rPr>
                <w:rFonts w:ascii="Arial" w:hAnsi="Arial" w:cs="Arial"/>
                <w:szCs w:val="24"/>
              </w:rPr>
              <w:t xml:space="preserve"> with the top bracket </w:t>
            </w:r>
            <w:r w:rsidR="00873A22">
              <w:rPr>
                <w:rFonts w:ascii="Arial" w:hAnsi="Arial" w:cs="Arial"/>
                <w:szCs w:val="24"/>
              </w:rPr>
              <w:t>of</w:t>
            </w:r>
            <w:r w:rsidRPr="00DB0495">
              <w:rPr>
                <w:rFonts w:ascii="Arial" w:hAnsi="Arial" w:cs="Arial"/>
                <w:szCs w:val="24"/>
              </w:rPr>
              <w:t xml:space="preserve"> $9,000</w:t>
            </w:r>
          </w:p>
        </w:tc>
      </w:tr>
      <w:tr w:rsidR="001E6820" w:rsidRPr="00DB0495" w:rsidTr="00873A22">
        <w:tc>
          <w:tcPr>
            <w:tcW w:w="1998" w:type="dxa"/>
            <w:tcBorders>
              <w:left w:val="nil"/>
            </w:tcBorders>
            <w:vAlign w:val="center"/>
          </w:tcPr>
          <w:p w:rsidR="001E6820" w:rsidRPr="00DB0495" w:rsidRDefault="001E6820" w:rsidP="00043E32">
            <w:pPr>
              <w:jc w:val="center"/>
              <w:rPr>
                <w:rFonts w:ascii="Arial" w:hAnsi="Arial" w:cs="Arial"/>
                <w:szCs w:val="24"/>
              </w:rPr>
            </w:pPr>
            <w:r w:rsidRPr="00DB0495">
              <w:rPr>
                <w:rFonts w:ascii="Arial" w:hAnsi="Arial" w:cs="Arial"/>
                <w:szCs w:val="24"/>
              </w:rPr>
              <w:t>1967</w:t>
            </w:r>
          </w:p>
        </w:tc>
        <w:tc>
          <w:tcPr>
            <w:tcW w:w="7470" w:type="dxa"/>
            <w:tcBorders>
              <w:right w:val="nil"/>
            </w:tcBorders>
            <w:vAlign w:val="center"/>
          </w:tcPr>
          <w:p w:rsidR="001E6820" w:rsidRPr="00DB0495" w:rsidRDefault="007A0F5D" w:rsidP="007A0F5D">
            <w:pPr>
              <w:jc w:val="both"/>
              <w:rPr>
                <w:rFonts w:ascii="Arial" w:hAnsi="Arial" w:cs="Arial"/>
                <w:szCs w:val="24"/>
              </w:rPr>
            </w:pPr>
            <w:r>
              <w:rPr>
                <w:rFonts w:ascii="Arial" w:hAnsi="Arial" w:cs="Arial"/>
                <w:szCs w:val="24"/>
              </w:rPr>
              <w:t>Additional bracket and new top 5.25% rate introduced.</w:t>
            </w:r>
          </w:p>
        </w:tc>
      </w:tr>
      <w:tr w:rsidR="001E6820" w:rsidRPr="00DB0495" w:rsidTr="00873A22">
        <w:tc>
          <w:tcPr>
            <w:tcW w:w="1998" w:type="dxa"/>
            <w:tcBorders>
              <w:left w:val="nil"/>
            </w:tcBorders>
            <w:vAlign w:val="center"/>
          </w:tcPr>
          <w:p w:rsidR="001E6820" w:rsidRPr="00DB0495" w:rsidRDefault="001E6820" w:rsidP="00043E32">
            <w:pPr>
              <w:jc w:val="center"/>
              <w:rPr>
                <w:rFonts w:ascii="Arial" w:hAnsi="Arial" w:cs="Arial"/>
                <w:szCs w:val="24"/>
              </w:rPr>
            </w:pPr>
            <w:r w:rsidRPr="00DB0495">
              <w:rPr>
                <w:rFonts w:ascii="Arial" w:hAnsi="Arial" w:cs="Arial"/>
                <w:szCs w:val="24"/>
              </w:rPr>
              <w:t>1971</w:t>
            </w:r>
          </w:p>
        </w:tc>
        <w:tc>
          <w:tcPr>
            <w:tcW w:w="7470" w:type="dxa"/>
            <w:tcBorders>
              <w:right w:val="nil"/>
            </w:tcBorders>
            <w:vAlign w:val="center"/>
          </w:tcPr>
          <w:p w:rsidR="001E6820" w:rsidRPr="00DB0495" w:rsidRDefault="001E6820" w:rsidP="00873A22">
            <w:pPr>
              <w:jc w:val="both"/>
              <w:rPr>
                <w:rFonts w:ascii="Arial" w:hAnsi="Arial" w:cs="Arial"/>
                <w:szCs w:val="24"/>
              </w:rPr>
            </w:pPr>
            <w:r w:rsidRPr="00DB0495">
              <w:rPr>
                <w:rFonts w:ascii="Arial" w:hAnsi="Arial" w:cs="Arial"/>
                <w:szCs w:val="24"/>
              </w:rPr>
              <w:t>Rates increased on all brackets except lowest two</w:t>
            </w:r>
            <w:r w:rsidR="00873A22">
              <w:rPr>
                <w:rFonts w:ascii="Arial" w:hAnsi="Arial" w:cs="Arial"/>
                <w:szCs w:val="24"/>
              </w:rPr>
              <w:t xml:space="preserve">, </w:t>
            </w:r>
            <w:r w:rsidRPr="00DB0495">
              <w:rPr>
                <w:rFonts w:ascii="Arial" w:hAnsi="Arial" w:cs="Arial"/>
                <w:szCs w:val="24"/>
              </w:rPr>
              <w:t>rates ranging from 0.75% to 7.0%</w:t>
            </w:r>
          </w:p>
        </w:tc>
      </w:tr>
      <w:tr w:rsidR="001E6820" w:rsidRPr="00DB0495" w:rsidTr="00873A22">
        <w:tc>
          <w:tcPr>
            <w:tcW w:w="1998" w:type="dxa"/>
            <w:tcBorders>
              <w:left w:val="nil"/>
            </w:tcBorders>
            <w:vAlign w:val="center"/>
          </w:tcPr>
          <w:p w:rsidR="001E6820" w:rsidRPr="00DB0495" w:rsidRDefault="001E6820" w:rsidP="00043E32">
            <w:pPr>
              <w:jc w:val="center"/>
              <w:rPr>
                <w:rFonts w:ascii="Arial" w:hAnsi="Arial" w:cs="Arial"/>
                <w:szCs w:val="24"/>
              </w:rPr>
            </w:pPr>
            <w:r w:rsidRPr="00DB0495">
              <w:rPr>
                <w:rFonts w:ascii="Arial" w:hAnsi="Arial" w:cs="Arial"/>
                <w:szCs w:val="24"/>
              </w:rPr>
              <w:t>1975</w:t>
            </w:r>
          </w:p>
        </w:tc>
        <w:tc>
          <w:tcPr>
            <w:tcW w:w="7470" w:type="dxa"/>
            <w:tcBorders>
              <w:right w:val="nil"/>
            </w:tcBorders>
            <w:vAlign w:val="center"/>
          </w:tcPr>
          <w:p w:rsidR="001E6820" w:rsidRPr="00DB0495" w:rsidRDefault="001E6820" w:rsidP="00873A22">
            <w:pPr>
              <w:jc w:val="both"/>
              <w:rPr>
                <w:rFonts w:ascii="Arial" w:hAnsi="Arial" w:cs="Arial"/>
                <w:szCs w:val="24"/>
              </w:rPr>
            </w:pPr>
            <w:r w:rsidRPr="00DB0495">
              <w:rPr>
                <w:rFonts w:ascii="Arial" w:hAnsi="Arial" w:cs="Arial"/>
                <w:szCs w:val="24"/>
              </w:rPr>
              <w:t>Rates ranging from 0.5% to 13.0% over 13 taxable income</w:t>
            </w:r>
            <w:r w:rsidR="00873A22">
              <w:rPr>
                <w:rFonts w:ascii="Arial" w:hAnsi="Arial" w:cs="Arial"/>
                <w:szCs w:val="24"/>
              </w:rPr>
              <w:t xml:space="preserve"> brackets</w:t>
            </w:r>
            <w:r w:rsidRPr="00DB0495">
              <w:rPr>
                <w:rFonts w:ascii="Arial" w:hAnsi="Arial" w:cs="Arial"/>
                <w:szCs w:val="24"/>
              </w:rPr>
              <w:t xml:space="preserve"> with the top bracket </w:t>
            </w:r>
            <w:r w:rsidR="00873A22">
              <w:rPr>
                <w:rFonts w:ascii="Arial" w:hAnsi="Arial" w:cs="Arial"/>
                <w:szCs w:val="24"/>
              </w:rPr>
              <w:t>of</w:t>
            </w:r>
            <w:r w:rsidRPr="00DB0495">
              <w:rPr>
                <w:rFonts w:ascii="Arial" w:hAnsi="Arial" w:cs="Arial"/>
                <w:szCs w:val="24"/>
              </w:rPr>
              <w:t xml:space="preserve"> $75,000</w:t>
            </w:r>
          </w:p>
        </w:tc>
      </w:tr>
      <w:tr w:rsidR="001E6820" w:rsidRPr="00DB0495" w:rsidTr="00873A22">
        <w:tc>
          <w:tcPr>
            <w:tcW w:w="1998" w:type="dxa"/>
            <w:tcBorders>
              <w:left w:val="nil"/>
            </w:tcBorders>
            <w:vAlign w:val="center"/>
          </w:tcPr>
          <w:p w:rsidR="001E6820" w:rsidRPr="00DB0495" w:rsidRDefault="001E6820" w:rsidP="00043E32">
            <w:pPr>
              <w:jc w:val="center"/>
              <w:rPr>
                <w:rFonts w:ascii="Arial" w:hAnsi="Arial" w:cs="Arial"/>
                <w:szCs w:val="24"/>
              </w:rPr>
            </w:pPr>
            <w:r w:rsidRPr="00DB0495">
              <w:rPr>
                <w:rFonts w:ascii="Arial" w:hAnsi="Arial" w:cs="Arial"/>
                <w:szCs w:val="24"/>
              </w:rPr>
              <w:t>1979</w:t>
            </w:r>
          </w:p>
        </w:tc>
        <w:tc>
          <w:tcPr>
            <w:tcW w:w="7470" w:type="dxa"/>
            <w:tcBorders>
              <w:right w:val="nil"/>
            </w:tcBorders>
            <w:vAlign w:val="center"/>
          </w:tcPr>
          <w:p w:rsidR="001E6820" w:rsidRPr="00DB0495" w:rsidRDefault="007A0F5D" w:rsidP="007A0F5D">
            <w:pPr>
              <w:jc w:val="both"/>
              <w:rPr>
                <w:rFonts w:ascii="Arial" w:hAnsi="Arial" w:cs="Arial"/>
                <w:szCs w:val="24"/>
              </w:rPr>
            </w:pPr>
            <w:r>
              <w:rPr>
                <w:rFonts w:ascii="Arial" w:hAnsi="Arial" w:cs="Arial"/>
                <w:szCs w:val="24"/>
              </w:rPr>
              <w:t>One-time i</w:t>
            </w:r>
            <w:r w:rsidR="00873A22">
              <w:rPr>
                <w:rFonts w:ascii="Arial" w:hAnsi="Arial" w:cs="Arial"/>
                <w:szCs w:val="24"/>
              </w:rPr>
              <w:t>nde</w:t>
            </w:r>
            <w:r w:rsidR="001E6820" w:rsidRPr="00DB0495">
              <w:rPr>
                <w:rFonts w:ascii="Arial" w:hAnsi="Arial" w:cs="Arial"/>
                <w:szCs w:val="24"/>
              </w:rPr>
              <w:t>xation of brackets</w:t>
            </w:r>
            <w:r>
              <w:rPr>
                <w:rFonts w:ascii="Arial" w:hAnsi="Arial" w:cs="Arial"/>
                <w:szCs w:val="24"/>
              </w:rPr>
              <w:t>, raising top bracket to $76,725</w:t>
            </w:r>
          </w:p>
        </w:tc>
      </w:tr>
      <w:tr w:rsidR="001E6820" w:rsidRPr="00DB0495" w:rsidTr="00873A22">
        <w:tc>
          <w:tcPr>
            <w:tcW w:w="1998" w:type="dxa"/>
            <w:tcBorders>
              <w:left w:val="nil"/>
            </w:tcBorders>
            <w:vAlign w:val="center"/>
          </w:tcPr>
          <w:p w:rsidR="001E6820" w:rsidRPr="00DB0495" w:rsidRDefault="001E6820" w:rsidP="00043E32">
            <w:pPr>
              <w:jc w:val="center"/>
              <w:rPr>
                <w:rFonts w:ascii="Arial" w:hAnsi="Arial" w:cs="Arial"/>
                <w:szCs w:val="24"/>
              </w:rPr>
            </w:pPr>
            <w:r w:rsidRPr="00DB0495">
              <w:rPr>
                <w:rFonts w:ascii="Arial" w:hAnsi="Arial" w:cs="Arial"/>
                <w:szCs w:val="24"/>
              </w:rPr>
              <w:t>1987</w:t>
            </w:r>
          </w:p>
        </w:tc>
        <w:tc>
          <w:tcPr>
            <w:tcW w:w="7470" w:type="dxa"/>
            <w:tcBorders>
              <w:right w:val="nil"/>
            </w:tcBorders>
            <w:vAlign w:val="center"/>
          </w:tcPr>
          <w:p w:rsidR="001E6820" w:rsidRPr="00DB0495" w:rsidRDefault="001E6820" w:rsidP="00873A22">
            <w:pPr>
              <w:jc w:val="both"/>
              <w:rPr>
                <w:rFonts w:ascii="Arial" w:hAnsi="Arial" w:cs="Arial"/>
                <w:szCs w:val="24"/>
              </w:rPr>
            </w:pPr>
            <w:r w:rsidRPr="00DB0495">
              <w:rPr>
                <w:rFonts w:ascii="Arial" w:hAnsi="Arial" w:cs="Arial"/>
                <w:szCs w:val="24"/>
              </w:rPr>
              <w:t xml:space="preserve">Rates changed to 0.4% to 9.98% over </w:t>
            </w:r>
            <w:r w:rsidR="00873A22">
              <w:rPr>
                <w:rFonts w:ascii="Arial" w:hAnsi="Arial" w:cs="Arial"/>
                <w:szCs w:val="24"/>
              </w:rPr>
              <w:t>9</w:t>
            </w:r>
            <w:r w:rsidRPr="00DB0495">
              <w:rPr>
                <w:rFonts w:ascii="Arial" w:hAnsi="Arial" w:cs="Arial"/>
                <w:szCs w:val="24"/>
              </w:rPr>
              <w:t xml:space="preserve"> taxable income </w:t>
            </w:r>
            <w:r w:rsidR="00873A22">
              <w:rPr>
                <w:rFonts w:ascii="Arial" w:hAnsi="Arial" w:cs="Arial"/>
                <w:szCs w:val="24"/>
              </w:rPr>
              <w:t>brackets</w:t>
            </w:r>
            <w:r w:rsidRPr="00DB0495">
              <w:rPr>
                <w:rFonts w:ascii="Arial" w:hAnsi="Arial" w:cs="Arial"/>
                <w:szCs w:val="24"/>
              </w:rPr>
              <w:t xml:space="preserve"> with the top bracket </w:t>
            </w:r>
            <w:r w:rsidR="00873A22">
              <w:rPr>
                <w:rFonts w:ascii="Arial" w:hAnsi="Arial" w:cs="Arial"/>
                <w:szCs w:val="24"/>
              </w:rPr>
              <w:t>of</w:t>
            </w:r>
            <w:r w:rsidRPr="00DB0495">
              <w:rPr>
                <w:rFonts w:ascii="Arial" w:hAnsi="Arial" w:cs="Arial"/>
                <w:szCs w:val="24"/>
              </w:rPr>
              <w:t xml:space="preserve"> $45,000</w:t>
            </w:r>
          </w:p>
        </w:tc>
      </w:tr>
      <w:tr w:rsidR="001E6820" w:rsidRPr="00DB0495" w:rsidTr="00873A22">
        <w:tc>
          <w:tcPr>
            <w:tcW w:w="1998" w:type="dxa"/>
            <w:tcBorders>
              <w:left w:val="nil"/>
              <w:bottom w:val="single" w:sz="4" w:space="0" w:color="auto"/>
            </w:tcBorders>
            <w:vAlign w:val="center"/>
          </w:tcPr>
          <w:p w:rsidR="001E6820" w:rsidRPr="00DB0495" w:rsidRDefault="001E6820" w:rsidP="00043E32">
            <w:pPr>
              <w:jc w:val="center"/>
              <w:rPr>
                <w:rFonts w:ascii="Arial" w:hAnsi="Arial" w:cs="Arial"/>
                <w:szCs w:val="24"/>
              </w:rPr>
            </w:pPr>
            <w:r w:rsidRPr="00DB0495">
              <w:rPr>
                <w:rFonts w:ascii="Arial" w:hAnsi="Arial" w:cs="Arial"/>
                <w:szCs w:val="24"/>
              </w:rPr>
              <w:t>1996</w:t>
            </w:r>
          </w:p>
        </w:tc>
        <w:tc>
          <w:tcPr>
            <w:tcW w:w="7470" w:type="dxa"/>
            <w:tcBorders>
              <w:bottom w:val="single" w:sz="4" w:space="0" w:color="auto"/>
              <w:right w:val="nil"/>
            </w:tcBorders>
            <w:vAlign w:val="center"/>
          </w:tcPr>
          <w:p w:rsidR="001E6820" w:rsidRPr="00DB0495" w:rsidRDefault="007A0F5D" w:rsidP="007D4DD8">
            <w:pPr>
              <w:jc w:val="both"/>
              <w:rPr>
                <w:rFonts w:ascii="Arial" w:hAnsi="Arial" w:cs="Arial"/>
                <w:szCs w:val="24"/>
              </w:rPr>
            </w:pPr>
            <w:r>
              <w:rPr>
                <w:rFonts w:ascii="Arial" w:hAnsi="Arial" w:cs="Arial"/>
                <w:szCs w:val="24"/>
              </w:rPr>
              <w:t>Annual i</w:t>
            </w:r>
            <w:r w:rsidR="001E6820" w:rsidRPr="00DB0495">
              <w:rPr>
                <w:rFonts w:ascii="Arial" w:hAnsi="Arial" w:cs="Arial"/>
                <w:szCs w:val="24"/>
              </w:rPr>
              <w:t>ndex</w:t>
            </w:r>
            <w:r>
              <w:rPr>
                <w:rFonts w:ascii="Arial" w:hAnsi="Arial" w:cs="Arial"/>
                <w:szCs w:val="24"/>
              </w:rPr>
              <w:t>ation of brackets instituted</w:t>
            </w:r>
          </w:p>
        </w:tc>
      </w:tr>
      <w:tr w:rsidR="001E6820" w:rsidRPr="00DB0495" w:rsidTr="00873A22">
        <w:tc>
          <w:tcPr>
            <w:tcW w:w="1998" w:type="dxa"/>
            <w:tcBorders>
              <w:left w:val="nil"/>
              <w:bottom w:val="single" w:sz="12" w:space="0" w:color="auto"/>
            </w:tcBorders>
            <w:vAlign w:val="center"/>
          </w:tcPr>
          <w:p w:rsidR="001E6820" w:rsidRPr="00DB0495" w:rsidRDefault="007A0F5D" w:rsidP="00043E32">
            <w:pPr>
              <w:jc w:val="center"/>
              <w:rPr>
                <w:rFonts w:ascii="Arial" w:hAnsi="Arial" w:cs="Arial"/>
                <w:szCs w:val="24"/>
              </w:rPr>
            </w:pPr>
            <w:r>
              <w:rPr>
                <w:rFonts w:ascii="Arial" w:hAnsi="Arial" w:cs="Arial"/>
                <w:szCs w:val="24"/>
              </w:rPr>
              <w:t>1999</w:t>
            </w:r>
          </w:p>
        </w:tc>
        <w:tc>
          <w:tcPr>
            <w:tcW w:w="7470" w:type="dxa"/>
            <w:tcBorders>
              <w:bottom w:val="single" w:sz="12" w:space="0" w:color="auto"/>
              <w:right w:val="nil"/>
            </w:tcBorders>
            <w:vAlign w:val="center"/>
          </w:tcPr>
          <w:p w:rsidR="001E6820" w:rsidRPr="00DB0495" w:rsidRDefault="001E6820" w:rsidP="00873A22">
            <w:pPr>
              <w:jc w:val="both"/>
              <w:rPr>
                <w:rFonts w:ascii="Arial" w:hAnsi="Arial" w:cs="Arial"/>
                <w:szCs w:val="24"/>
              </w:rPr>
            </w:pPr>
            <w:r w:rsidRPr="00DB0495">
              <w:rPr>
                <w:rFonts w:ascii="Arial" w:hAnsi="Arial" w:cs="Arial"/>
                <w:szCs w:val="24"/>
              </w:rPr>
              <w:t xml:space="preserve">All tax rates cut 10% with a range of </w:t>
            </w:r>
            <w:r w:rsidR="00873A22">
              <w:rPr>
                <w:rFonts w:ascii="Arial" w:hAnsi="Arial" w:cs="Arial"/>
                <w:szCs w:val="24"/>
              </w:rPr>
              <w:t>0</w:t>
            </w:r>
            <w:r w:rsidRPr="00DB0495">
              <w:rPr>
                <w:rFonts w:ascii="Arial" w:hAnsi="Arial" w:cs="Arial"/>
                <w:szCs w:val="24"/>
              </w:rPr>
              <w:t xml:space="preserve">.36% through 8.98% over </w:t>
            </w:r>
            <w:r w:rsidR="00873A22">
              <w:rPr>
                <w:rFonts w:ascii="Arial" w:hAnsi="Arial" w:cs="Arial"/>
                <w:szCs w:val="24"/>
              </w:rPr>
              <w:t>9</w:t>
            </w:r>
            <w:r w:rsidRPr="00DB0495">
              <w:rPr>
                <w:rFonts w:ascii="Arial" w:hAnsi="Arial" w:cs="Arial"/>
                <w:szCs w:val="24"/>
              </w:rPr>
              <w:t xml:space="preserve"> taxable income bracket</w:t>
            </w:r>
            <w:r w:rsidR="00873A22">
              <w:rPr>
                <w:rFonts w:ascii="Arial" w:hAnsi="Arial" w:cs="Arial"/>
                <w:szCs w:val="24"/>
              </w:rPr>
              <w:t>s with the top bracket of $45,000 indexed</w:t>
            </w:r>
            <w:r w:rsidR="00F57BA9">
              <w:rPr>
                <w:rFonts w:ascii="Arial" w:hAnsi="Arial" w:cs="Arial"/>
                <w:szCs w:val="24"/>
              </w:rPr>
              <w:t xml:space="preserve"> ($51,660)</w:t>
            </w:r>
          </w:p>
        </w:tc>
      </w:tr>
    </w:tbl>
    <w:p w:rsidR="001E6820" w:rsidRPr="00DB0495" w:rsidRDefault="001E6820" w:rsidP="007D4DD8">
      <w:pPr>
        <w:spacing w:before="120" w:after="240"/>
        <w:jc w:val="both"/>
        <w:rPr>
          <w:rFonts w:ascii="Arial" w:hAnsi="Arial" w:cs="Arial"/>
          <w:szCs w:val="24"/>
        </w:rPr>
      </w:pPr>
      <w:r w:rsidRPr="00DB0495">
        <w:rPr>
          <w:rFonts w:ascii="Arial" w:hAnsi="Arial" w:cs="Arial"/>
          <w:szCs w:val="24"/>
        </w:rPr>
        <w:t>Features that distinguish Iowa’s individual income tax from federal individual income tax include:</w:t>
      </w:r>
    </w:p>
    <w:p w:rsidR="001E6820" w:rsidRPr="00DB0495" w:rsidRDefault="001E6820" w:rsidP="007D4DD8">
      <w:pPr>
        <w:numPr>
          <w:ilvl w:val="0"/>
          <w:numId w:val="34"/>
        </w:numPr>
        <w:spacing w:after="60"/>
        <w:jc w:val="both"/>
        <w:rPr>
          <w:rFonts w:ascii="Arial" w:hAnsi="Arial" w:cs="Arial"/>
          <w:szCs w:val="24"/>
        </w:rPr>
      </w:pPr>
      <w:r w:rsidRPr="00DB0495">
        <w:rPr>
          <w:rFonts w:ascii="Arial" w:hAnsi="Arial" w:cs="Arial"/>
          <w:szCs w:val="24"/>
        </w:rPr>
        <w:lastRenderedPageBreak/>
        <w:t xml:space="preserve">The ability of married taxpayers to file separately on the same return, which eliminates the “marriage penalty” </w:t>
      </w:r>
      <w:r w:rsidR="003D2CC7">
        <w:rPr>
          <w:rFonts w:ascii="Arial" w:hAnsi="Arial" w:cs="Arial"/>
          <w:szCs w:val="24"/>
        </w:rPr>
        <w:t xml:space="preserve">that would otherwise be </w:t>
      </w:r>
      <w:r w:rsidRPr="00DB0495">
        <w:rPr>
          <w:rFonts w:ascii="Arial" w:hAnsi="Arial" w:cs="Arial"/>
          <w:szCs w:val="24"/>
        </w:rPr>
        <w:t>encountered by many married</w:t>
      </w:r>
      <w:r w:rsidR="003D2CC7">
        <w:rPr>
          <w:rFonts w:ascii="Arial" w:hAnsi="Arial" w:cs="Arial"/>
          <w:szCs w:val="24"/>
        </w:rPr>
        <w:t xml:space="preserve"> taxpayers</w:t>
      </w:r>
      <w:r w:rsidR="005A5C99">
        <w:rPr>
          <w:rFonts w:ascii="Arial" w:hAnsi="Arial" w:cs="Arial"/>
          <w:szCs w:val="24"/>
        </w:rPr>
        <w:t>;</w:t>
      </w:r>
    </w:p>
    <w:p w:rsidR="001E6820" w:rsidRPr="00DB0495" w:rsidRDefault="001E6820" w:rsidP="007D4DD8">
      <w:pPr>
        <w:numPr>
          <w:ilvl w:val="0"/>
          <w:numId w:val="36"/>
        </w:numPr>
        <w:spacing w:after="60"/>
        <w:jc w:val="both"/>
        <w:rPr>
          <w:rFonts w:ascii="Arial" w:hAnsi="Arial" w:cs="Arial"/>
          <w:szCs w:val="24"/>
        </w:rPr>
      </w:pPr>
      <w:r w:rsidRPr="00DB0495">
        <w:rPr>
          <w:rFonts w:ascii="Arial" w:hAnsi="Arial" w:cs="Arial"/>
          <w:szCs w:val="24"/>
        </w:rPr>
        <w:t xml:space="preserve">Personal and dependent credits, which </w:t>
      </w:r>
      <w:r w:rsidR="003E7344">
        <w:rPr>
          <w:rFonts w:ascii="Arial" w:hAnsi="Arial" w:cs="Arial"/>
          <w:szCs w:val="24"/>
        </w:rPr>
        <w:t xml:space="preserve">the impact on tax liability is </w:t>
      </w:r>
      <w:r w:rsidRPr="00DB0495">
        <w:rPr>
          <w:rFonts w:ascii="Arial" w:hAnsi="Arial" w:cs="Arial"/>
          <w:szCs w:val="24"/>
        </w:rPr>
        <w:t xml:space="preserve">equal regardless of taxpayers’ income, instead of personal exemptions, </w:t>
      </w:r>
      <w:r w:rsidR="003E7344">
        <w:rPr>
          <w:rFonts w:ascii="Arial" w:hAnsi="Arial" w:cs="Arial"/>
          <w:szCs w:val="24"/>
        </w:rPr>
        <w:t xml:space="preserve">where </w:t>
      </w:r>
      <w:r w:rsidRPr="00DB0495">
        <w:rPr>
          <w:rFonts w:ascii="Arial" w:hAnsi="Arial" w:cs="Arial"/>
          <w:szCs w:val="24"/>
        </w:rPr>
        <w:t xml:space="preserve">the impact on tax liability varies </w:t>
      </w:r>
      <w:r w:rsidR="003E7344">
        <w:rPr>
          <w:rFonts w:ascii="Arial" w:hAnsi="Arial" w:cs="Arial"/>
          <w:szCs w:val="24"/>
        </w:rPr>
        <w:t>with the taxpayers’ marginal tax rate</w:t>
      </w:r>
      <w:r w:rsidR="005A5C99">
        <w:rPr>
          <w:rFonts w:ascii="Arial" w:hAnsi="Arial" w:cs="Arial"/>
          <w:szCs w:val="24"/>
        </w:rPr>
        <w:t>;</w:t>
      </w:r>
      <w:r w:rsidRPr="00DB0495">
        <w:rPr>
          <w:rFonts w:ascii="Arial" w:hAnsi="Arial" w:cs="Arial"/>
          <w:szCs w:val="24"/>
        </w:rPr>
        <w:t xml:space="preserve"> </w:t>
      </w:r>
    </w:p>
    <w:p w:rsidR="001E6820" w:rsidRPr="00DB0495" w:rsidRDefault="001E6820" w:rsidP="007D4DD8">
      <w:pPr>
        <w:numPr>
          <w:ilvl w:val="0"/>
          <w:numId w:val="38"/>
        </w:numPr>
        <w:spacing w:after="60"/>
        <w:jc w:val="both"/>
        <w:rPr>
          <w:rFonts w:ascii="Arial" w:hAnsi="Arial" w:cs="Arial"/>
          <w:szCs w:val="24"/>
        </w:rPr>
      </w:pPr>
      <w:r w:rsidRPr="00DB0495">
        <w:rPr>
          <w:rFonts w:ascii="Arial" w:hAnsi="Arial" w:cs="Arial"/>
          <w:szCs w:val="24"/>
        </w:rPr>
        <w:t>For Iowa residents, only single individuals with Iowa net income over $9,000 and other filers with Iowa net income over $13,500 are required to file tax returns, and for non-residents Iowa returns only have to be filed by those w</w:t>
      </w:r>
      <w:r w:rsidR="00DB0495" w:rsidRPr="00DB0495">
        <w:rPr>
          <w:rFonts w:ascii="Arial" w:hAnsi="Arial" w:cs="Arial"/>
          <w:szCs w:val="24"/>
        </w:rPr>
        <w:t xml:space="preserve">ith over $1,000 Iowa net income; for single taxpayers aged 65 or older, the filing threshold is $24,000 </w:t>
      </w:r>
      <w:r w:rsidRPr="00DB0495">
        <w:rPr>
          <w:rFonts w:ascii="Arial" w:hAnsi="Arial" w:cs="Arial"/>
          <w:szCs w:val="24"/>
        </w:rPr>
        <w:t>and</w:t>
      </w:r>
      <w:r w:rsidR="00DB0495" w:rsidRPr="00DB0495">
        <w:rPr>
          <w:rFonts w:ascii="Arial" w:hAnsi="Arial" w:cs="Arial"/>
          <w:szCs w:val="24"/>
        </w:rPr>
        <w:t xml:space="preserve"> for married taxpayers with one spouse aged 65 or older, the filing threshold is $3</w:t>
      </w:r>
      <w:r w:rsidR="003E7344">
        <w:rPr>
          <w:rFonts w:ascii="Arial" w:hAnsi="Arial" w:cs="Arial"/>
          <w:szCs w:val="24"/>
        </w:rPr>
        <w:t>2</w:t>
      </w:r>
      <w:r w:rsidR="00DB0495" w:rsidRPr="00DB0495">
        <w:rPr>
          <w:rFonts w:ascii="Arial" w:hAnsi="Arial" w:cs="Arial"/>
          <w:szCs w:val="24"/>
        </w:rPr>
        <w:t>,000;</w:t>
      </w:r>
    </w:p>
    <w:p w:rsidR="00F63548" w:rsidRPr="00F63548" w:rsidRDefault="001E6820" w:rsidP="000C7FF3">
      <w:pPr>
        <w:numPr>
          <w:ilvl w:val="0"/>
          <w:numId w:val="40"/>
        </w:numPr>
        <w:spacing w:after="240"/>
        <w:jc w:val="both"/>
        <w:rPr>
          <w:rFonts w:ascii="Arial" w:hAnsi="Arial" w:cs="Arial"/>
          <w:szCs w:val="24"/>
        </w:rPr>
      </w:pPr>
      <w:r w:rsidRPr="00DB0495">
        <w:rPr>
          <w:rFonts w:ascii="Arial" w:hAnsi="Arial" w:cs="Arial"/>
          <w:szCs w:val="24"/>
        </w:rPr>
        <w:t>A 100 percent deduction for federal income tax payments</w:t>
      </w:r>
      <w:r w:rsidR="00DB0495" w:rsidRPr="00DB0495">
        <w:rPr>
          <w:rFonts w:ascii="Arial" w:hAnsi="Arial" w:cs="Arial"/>
          <w:szCs w:val="24"/>
        </w:rPr>
        <w:t>, reduced by federal refunds of prior federal payments received during the tax year</w:t>
      </w:r>
      <w:r w:rsidR="000C7FF3">
        <w:rPr>
          <w:rFonts w:ascii="Arial" w:hAnsi="Arial" w:cs="Arial"/>
          <w:szCs w:val="24"/>
        </w:rPr>
        <w:t>.</w:t>
      </w:r>
    </w:p>
    <w:p w:rsidR="00C96C55" w:rsidRDefault="00F63548" w:rsidP="00C96C55">
      <w:pPr>
        <w:spacing w:after="240"/>
        <w:jc w:val="both"/>
        <w:rPr>
          <w:rFonts w:ascii="Arial" w:hAnsi="Arial" w:cs="Arial"/>
          <w:color w:val="000000"/>
          <w:sz w:val="23"/>
          <w:szCs w:val="23"/>
          <w:lang w:val="en"/>
        </w:rPr>
      </w:pPr>
      <w:r>
        <w:rPr>
          <w:rFonts w:ascii="Arial" w:hAnsi="Arial" w:cs="Arial"/>
          <w:color w:val="000000"/>
          <w:sz w:val="23"/>
          <w:szCs w:val="23"/>
          <w:lang w:val="en"/>
        </w:rPr>
        <w:t xml:space="preserve">In tax year 2010, 1,467,563 Iowa individual income tax returns were filed. Of these, 1,336,861 were filed by Iowa residents and 130,703 were filed by non-residents. The total tax liability reported on returns was $2,693.3 million. Resident taxpayers accounted for $2,557.7 million of this liability and the remaining $135.6 million was </w:t>
      </w:r>
      <w:bookmarkStart w:id="97" w:name="_Toc516382378"/>
      <w:bookmarkStart w:id="98" w:name="_Toc516383286"/>
      <w:bookmarkStart w:id="99" w:name="_Toc516384735"/>
      <w:bookmarkStart w:id="100" w:name="_Toc516384907"/>
      <w:bookmarkStart w:id="101" w:name="_Toc516385220"/>
      <w:bookmarkStart w:id="102" w:name="_Toc517239532"/>
      <w:bookmarkStart w:id="103" w:name="_Toc517248316"/>
      <w:bookmarkStart w:id="104" w:name="_Toc517248538"/>
      <w:bookmarkStart w:id="105" w:name="_Toc517248609"/>
      <w:bookmarkStart w:id="106" w:name="_Toc517505248"/>
      <w:bookmarkStart w:id="107" w:name="_Toc517507506"/>
      <w:bookmarkStart w:id="108" w:name="_Toc517580167"/>
      <w:bookmarkStart w:id="109" w:name="_Toc517581352"/>
      <w:bookmarkStart w:id="110" w:name="_Toc517597068"/>
      <w:bookmarkStart w:id="111" w:name="_Toc518109478"/>
      <w:bookmarkStart w:id="112" w:name="_Toc518110119"/>
      <w:bookmarkStart w:id="113" w:name="_Toc518200094"/>
      <w:bookmarkStart w:id="114" w:name="_Toc518275712"/>
      <w:bookmarkStart w:id="115" w:name="_Toc519499965"/>
      <w:bookmarkStart w:id="116" w:name="_Toc519561697"/>
      <w:bookmarkStart w:id="117" w:name="_Toc519570986"/>
      <w:bookmarkStart w:id="118" w:name="_Toc219790799"/>
      <w:bookmarkStart w:id="119" w:name="_Toc220832046"/>
      <w:bookmarkStart w:id="120" w:name="_Toc220832257"/>
      <w:r w:rsidR="00C96C55">
        <w:rPr>
          <w:rFonts w:ascii="Arial" w:hAnsi="Arial" w:cs="Arial"/>
          <w:color w:val="000000"/>
          <w:sz w:val="23"/>
          <w:szCs w:val="23"/>
          <w:lang w:val="en"/>
        </w:rPr>
        <w:t>accounted for by non-residents.</w:t>
      </w:r>
    </w:p>
    <w:p w:rsidR="00C96C55" w:rsidRDefault="00C96C55" w:rsidP="00C96C55">
      <w:pPr>
        <w:spacing w:after="240"/>
        <w:jc w:val="both"/>
        <w:rPr>
          <w:rFonts w:ascii="Arial" w:hAnsi="Arial" w:cs="Arial"/>
          <w:color w:val="000000"/>
          <w:sz w:val="23"/>
          <w:szCs w:val="23"/>
          <w:lang w:val="en"/>
        </w:rPr>
      </w:pPr>
    </w:p>
    <w:p w:rsidR="00AB4620" w:rsidRPr="00DB0495" w:rsidRDefault="00C96C55" w:rsidP="00AB4620">
      <w:pPr>
        <w:pStyle w:val="Heading2"/>
      </w:pPr>
      <w:r>
        <w:br w:type="page"/>
      </w:r>
      <w:r w:rsidR="00AB4620" w:rsidRPr="00DB0495">
        <w:lastRenderedPageBreak/>
        <w:t>Corporat</w:t>
      </w:r>
      <w:r w:rsidR="00AB4620">
        <w:t>ion</w:t>
      </w:r>
      <w:r w:rsidR="00AB4620" w:rsidRPr="00DB0495">
        <w:t xml:space="preserve"> Income Tax</w:t>
      </w:r>
    </w:p>
    <w:p w:rsidR="00AB4620" w:rsidRDefault="00AB4620" w:rsidP="00AB4620">
      <w:pPr>
        <w:spacing w:after="240"/>
        <w:jc w:val="both"/>
        <w:rPr>
          <w:rFonts w:ascii="Arial" w:hAnsi="Arial" w:cs="Arial"/>
          <w:szCs w:val="24"/>
        </w:rPr>
      </w:pPr>
      <w:r w:rsidRPr="00DB0495">
        <w:rPr>
          <w:rFonts w:ascii="Arial" w:hAnsi="Arial" w:cs="Arial"/>
          <w:szCs w:val="24"/>
        </w:rPr>
        <w:t>The Iowa corporat</w:t>
      </w:r>
      <w:r>
        <w:rPr>
          <w:rFonts w:ascii="Arial" w:hAnsi="Arial" w:cs="Arial"/>
          <w:szCs w:val="24"/>
        </w:rPr>
        <w:t>ion</w:t>
      </w:r>
      <w:r w:rsidRPr="00DB0495">
        <w:rPr>
          <w:rFonts w:ascii="Arial" w:hAnsi="Arial" w:cs="Arial"/>
          <w:szCs w:val="24"/>
        </w:rPr>
        <w:t xml:space="preserve"> income tax was enacted in 1934 and generally uses federal definitions of business income and deductions. The history of corporate income tax rates and tax brackets is presented in the table below.</w:t>
      </w:r>
    </w:p>
    <w:p w:rsidR="00AB4620" w:rsidRPr="007D4DD8" w:rsidRDefault="00AB4620" w:rsidP="00AB4620">
      <w:pPr>
        <w:jc w:val="center"/>
        <w:rPr>
          <w:rFonts w:ascii="Arial" w:hAnsi="Arial" w:cs="Arial"/>
          <w:b/>
          <w:szCs w:val="24"/>
        </w:rPr>
      </w:pPr>
      <w:r w:rsidRPr="007D4DD8">
        <w:rPr>
          <w:rFonts w:ascii="Arial" w:hAnsi="Arial" w:cs="Arial"/>
          <w:b/>
          <w:szCs w:val="24"/>
        </w:rPr>
        <w:t xml:space="preserve">History of Iowa </w:t>
      </w:r>
      <w:r>
        <w:rPr>
          <w:rFonts w:ascii="Arial" w:hAnsi="Arial" w:cs="Arial"/>
          <w:b/>
          <w:szCs w:val="24"/>
        </w:rPr>
        <w:t>Corporation</w:t>
      </w:r>
      <w:r w:rsidRPr="007D4DD8">
        <w:rPr>
          <w:rFonts w:ascii="Arial" w:hAnsi="Arial" w:cs="Arial"/>
          <w:b/>
          <w:szCs w:val="24"/>
        </w:rPr>
        <w:t xml:space="preserve"> Income Tax Rates and Brackets</w:t>
      </w:r>
    </w:p>
    <w:tbl>
      <w:tblPr>
        <w:tblW w:w="0" w:type="auto"/>
        <w:tblInd w:w="108" w:type="dxa"/>
        <w:tblBorders>
          <w:top w:val="single" w:sz="12" w:space="0" w:color="auto"/>
          <w:bottom w:val="single" w:sz="12" w:space="0" w:color="auto"/>
          <w:insideH w:val="single" w:sz="6" w:space="0" w:color="auto"/>
          <w:insideV w:val="single" w:sz="6" w:space="0" w:color="auto"/>
        </w:tblBorders>
        <w:tblLayout w:type="fixed"/>
        <w:tblLook w:val="0000" w:firstRow="0" w:lastRow="0" w:firstColumn="0" w:lastColumn="0" w:noHBand="0" w:noVBand="0"/>
      </w:tblPr>
      <w:tblGrid>
        <w:gridCol w:w="1980"/>
        <w:gridCol w:w="6858"/>
        <w:gridCol w:w="18"/>
      </w:tblGrid>
      <w:tr w:rsidR="00AB4620" w:rsidRPr="00DB0495" w:rsidTr="00194E71">
        <w:trPr>
          <w:gridAfter w:val="1"/>
          <w:wAfter w:w="18" w:type="dxa"/>
        </w:trPr>
        <w:tc>
          <w:tcPr>
            <w:tcW w:w="1980" w:type="dxa"/>
            <w:shd w:val="clear" w:color="auto" w:fill="auto"/>
            <w:vAlign w:val="center"/>
          </w:tcPr>
          <w:p w:rsidR="00AB4620" w:rsidRPr="00DB0495" w:rsidRDefault="00AB4620" w:rsidP="00194E71">
            <w:pPr>
              <w:jc w:val="center"/>
              <w:rPr>
                <w:rFonts w:ascii="Arial" w:hAnsi="Arial" w:cs="Arial"/>
                <w:b/>
                <w:szCs w:val="24"/>
              </w:rPr>
            </w:pPr>
            <w:r>
              <w:rPr>
                <w:rFonts w:ascii="Arial" w:hAnsi="Arial" w:cs="Arial"/>
                <w:b/>
                <w:szCs w:val="24"/>
              </w:rPr>
              <w:t>Tax Year</w:t>
            </w:r>
          </w:p>
        </w:tc>
        <w:tc>
          <w:tcPr>
            <w:tcW w:w="6858" w:type="dxa"/>
            <w:shd w:val="clear" w:color="auto" w:fill="auto"/>
            <w:vAlign w:val="center"/>
          </w:tcPr>
          <w:p w:rsidR="00AB4620" w:rsidRPr="00DB0495" w:rsidRDefault="00AB4620" w:rsidP="00194E71">
            <w:pPr>
              <w:jc w:val="both"/>
              <w:rPr>
                <w:rFonts w:ascii="Arial" w:hAnsi="Arial" w:cs="Arial"/>
                <w:b/>
                <w:szCs w:val="24"/>
              </w:rPr>
            </w:pPr>
            <w:r w:rsidRPr="00DB0495">
              <w:rPr>
                <w:rFonts w:ascii="Arial" w:hAnsi="Arial" w:cs="Arial"/>
                <w:b/>
                <w:szCs w:val="24"/>
              </w:rPr>
              <w:t>Rate and Income Tax Bracket</w:t>
            </w:r>
          </w:p>
        </w:tc>
      </w:tr>
      <w:tr w:rsidR="00AB4620" w:rsidRPr="00DB0495" w:rsidTr="00194E71">
        <w:tc>
          <w:tcPr>
            <w:tcW w:w="1980" w:type="dxa"/>
            <w:vAlign w:val="center"/>
          </w:tcPr>
          <w:p w:rsidR="00AB4620" w:rsidRPr="00DB0495" w:rsidRDefault="00AB4620" w:rsidP="00194E71">
            <w:pPr>
              <w:jc w:val="center"/>
              <w:rPr>
                <w:rFonts w:ascii="Arial" w:hAnsi="Arial" w:cs="Arial"/>
                <w:szCs w:val="24"/>
              </w:rPr>
            </w:pPr>
            <w:r w:rsidRPr="00DB0495">
              <w:rPr>
                <w:rFonts w:ascii="Arial" w:hAnsi="Arial" w:cs="Arial"/>
                <w:szCs w:val="24"/>
              </w:rPr>
              <w:t>1934</w:t>
            </w:r>
          </w:p>
        </w:tc>
        <w:tc>
          <w:tcPr>
            <w:tcW w:w="6876" w:type="dxa"/>
            <w:gridSpan w:val="2"/>
            <w:vAlign w:val="center"/>
          </w:tcPr>
          <w:p w:rsidR="00AB4620" w:rsidRPr="00DB0495" w:rsidRDefault="00AB4620" w:rsidP="00194E71">
            <w:pPr>
              <w:jc w:val="both"/>
              <w:rPr>
                <w:rFonts w:ascii="Arial" w:hAnsi="Arial" w:cs="Arial"/>
                <w:szCs w:val="24"/>
              </w:rPr>
            </w:pPr>
            <w:r>
              <w:rPr>
                <w:rFonts w:ascii="Arial" w:hAnsi="Arial" w:cs="Arial"/>
                <w:szCs w:val="24"/>
              </w:rPr>
              <w:t>Fla</w:t>
            </w:r>
            <w:r w:rsidRPr="00DB0495">
              <w:rPr>
                <w:rFonts w:ascii="Arial" w:hAnsi="Arial" w:cs="Arial"/>
                <w:szCs w:val="24"/>
              </w:rPr>
              <w:t>t rate of 2.0%</w:t>
            </w:r>
          </w:p>
        </w:tc>
      </w:tr>
      <w:tr w:rsidR="00AD0C30" w:rsidRPr="00DB0495" w:rsidTr="00194E71">
        <w:tc>
          <w:tcPr>
            <w:tcW w:w="1980" w:type="dxa"/>
            <w:vAlign w:val="center"/>
          </w:tcPr>
          <w:p w:rsidR="00AD0C30" w:rsidRPr="00DB0495" w:rsidRDefault="00AD0C30" w:rsidP="00AD0C30">
            <w:pPr>
              <w:jc w:val="center"/>
              <w:rPr>
                <w:rFonts w:ascii="Arial" w:hAnsi="Arial" w:cs="Arial"/>
                <w:szCs w:val="24"/>
              </w:rPr>
            </w:pPr>
            <w:r w:rsidRPr="00DB0495">
              <w:rPr>
                <w:rFonts w:ascii="Arial" w:hAnsi="Arial" w:cs="Arial"/>
                <w:szCs w:val="24"/>
              </w:rPr>
              <w:t>195</w:t>
            </w:r>
            <w:r>
              <w:rPr>
                <w:rFonts w:ascii="Arial" w:hAnsi="Arial" w:cs="Arial"/>
                <w:szCs w:val="24"/>
              </w:rPr>
              <w:t>5</w:t>
            </w:r>
          </w:p>
        </w:tc>
        <w:tc>
          <w:tcPr>
            <w:tcW w:w="6876" w:type="dxa"/>
            <w:gridSpan w:val="2"/>
            <w:vAlign w:val="center"/>
          </w:tcPr>
          <w:p w:rsidR="00AD0C30" w:rsidRPr="00DB0495" w:rsidRDefault="00AD0C30" w:rsidP="00633CCC">
            <w:pPr>
              <w:jc w:val="both"/>
              <w:rPr>
                <w:rFonts w:ascii="Arial" w:hAnsi="Arial" w:cs="Arial"/>
                <w:szCs w:val="24"/>
              </w:rPr>
            </w:pPr>
            <w:r w:rsidRPr="00DB0495">
              <w:rPr>
                <w:rFonts w:ascii="Arial" w:hAnsi="Arial" w:cs="Arial"/>
                <w:szCs w:val="24"/>
              </w:rPr>
              <w:t>Rate increased to 3.0%</w:t>
            </w:r>
          </w:p>
        </w:tc>
      </w:tr>
      <w:tr w:rsidR="00AD0C30" w:rsidRPr="00DB0495" w:rsidTr="00194E71">
        <w:tc>
          <w:tcPr>
            <w:tcW w:w="1980" w:type="dxa"/>
            <w:vAlign w:val="center"/>
          </w:tcPr>
          <w:p w:rsidR="00AD0C30" w:rsidRPr="00DB0495" w:rsidRDefault="00AD0C30" w:rsidP="00633CCC">
            <w:pPr>
              <w:jc w:val="center"/>
              <w:rPr>
                <w:rFonts w:ascii="Arial" w:hAnsi="Arial" w:cs="Arial"/>
                <w:szCs w:val="24"/>
              </w:rPr>
            </w:pPr>
            <w:r w:rsidRPr="00DB0495">
              <w:rPr>
                <w:rFonts w:ascii="Arial" w:hAnsi="Arial" w:cs="Arial"/>
                <w:szCs w:val="24"/>
              </w:rPr>
              <w:t>195</w:t>
            </w:r>
            <w:r>
              <w:rPr>
                <w:rFonts w:ascii="Arial" w:hAnsi="Arial" w:cs="Arial"/>
                <w:szCs w:val="24"/>
              </w:rPr>
              <w:t>7</w:t>
            </w:r>
          </w:p>
        </w:tc>
        <w:tc>
          <w:tcPr>
            <w:tcW w:w="6876" w:type="dxa"/>
            <w:gridSpan w:val="2"/>
            <w:vAlign w:val="center"/>
          </w:tcPr>
          <w:p w:rsidR="00AD0C30" w:rsidRPr="00DB0495" w:rsidRDefault="00AD0C30" w:rsidP="00AD0C30">
            <w:pPr>
              <w:jc w:val="both"/>
              <w:rPr>
                <w:rFonts w:ascii="Arial" w:hAnsi="Arial" w:cs="Arial"/>
                <w:szCs w:val="24"/>
              </w:rPr>
            </w:pPr>
            <w:r w:rsidRPr="00DB0495">
              <w:rPr>
                <w:rFonts w:ascii="Arial" w:hAnsi="Arial" w:cs="Arial"/>
                <w:szCs w:val="24"/>
              </w:rPr>
              <w:t xml:space="preserve">Rate </w:t>
            </w:r>
            <w:r>
              <w:rPr>
                <w:rFonts w:ascii="Arial" w:hAnsi="Arial" w:cs="Arial"/>
                <w:szCs w:val="24"/>
              </w:rPr>
              <w:t>lowered</w:t>
            </w:r>
            <w:r w:rsidRPr="00DB0495">
              <w:rPr>
                <w:rFonts w:ascii="Arial" w:hAnsi="Arial" w:cs="Arial"/>
                <w:szCs w:val="24"/>
              </w:rPr>
              <w:t xml:space="preserve"> to </w:t>
            </w:r>
            <w:r>
              <w:rPr>
                <w:rFonts w:ascii="Arial" w:hAnsi="Arial" w:cs="Arial"/>
                <w:szCs w:val="24"/>
              </w:rPr>
              <w:t>2</w:t>
            </w:r>
            <w:r w:rsidRPr="00DB0495">
              <w:rPr>
                <w:rFonts w:ascii="Arial" w:hAnsi="Arial" w:cs="Arial"/>
                <w:szCs w:val="24"/>
              </w:rPr>
              <w:t>.0%</w:t>
            </w:r>
          </w:p>
        </w:tc>
      </w:tr>
      <w:tr w:rsidR="00AD0C30" w:rsidRPr="00DB0495" w:rsidTr="00194E71">
        <w:tc>
          <w:tcPr>
            <w:tcW w:w="1980" w:type="dxa"/>
            <w:vAlign w:val="center"/>
          </w:tcPr>
          <w:p w:rsidR="00AD0C30" w:rsidRPr="00DB0495" w:rsidRDefault="00AD0C30" w:rsidP="00194E71">
            <w:pPr>
              <w:jc w:val="center"/>
              <w:rPr>
                <w:rFonts w:ascii="Arial" w:hAnsi="Arial" w:cs="Arial"/>
                <w:szCs w:val="24"/>
              </w:rPr>
            </w:pPr>
            <w:r w:rsidRPr="00DB0495">
              <w:rPr>
                <w:rFonts w:ascii="Arial" w:hAnsi="Arial" w:cs="Arial"/>
                <w:szCs w:val="24"/>
              </w:rPr>
              <w:t>1959</w:t>
            </w:r>
          </w:p>
        </w:tc>
        <w:tc>
          <w:tcPr>
            <w:tcW w:w="6876" w:type="dxa"/>
            <w:gridSpan w:val="2"/>
            <w:vAlign w:val="center"/>
          </w:tcPr>
          <w:p w:rsidR="00AD0C30" w:rsidRPr="00DB0495" w:rsidRDefault="00AD0C30" w:rsidP="00194E71">
            <w:pPr>
              <w:jc w:val="both"/>
              <w:rPr>
                <w:rFonts w:ascii="Arial" w:hAnsi="Arial" w:cs="Arial"/>
                <w:szCs w:val="24"/>
              </w:rPr>
            </w:pPr>
            <w:r w:rsidRPr="00DB0495">
              <w:rPr>
                <w:rFonts w:ascii="Arial" w:hAnsi="Arial" w:cs="Arial"/>
                <w:szCs w:val="24"/>
              </w:rPr>
              <w:t>Rate increased to 3.0%</w:t>
            </w:r>
          </w:p>
        </w:tc>
      </w:tr>
      <w:tr w:rsidR="00AD0C30" w:rsidRPr="00DB0495" w:rsidTr="00194E71">
        <w:tc>
          <w:tcPr>
            <w:tcW w:w="1980" w:type="dxa"/>
            <w:vAlign w:val="center"/>
          </w:tcPr>
          <w:p w:rsidR="00AD0C30" w:rsidRPr="00DB0495" w:rsidRDefault="00AD0C30" w:rsidP="00194E71">
            <w:pPr>
              <w:jc w:val="center"/>
              <w:rPr>
                <w:rFonts w:ascii="Arial" w:hAnsi="Arial" w:cs="Arial"/>
                <w:szCs w:val="24"/>
              </w:rPr>
            </w:pPr>
            <w:r w:rsidRPr="00DB0495">
              <w:rPr>
                <w:rFonts w:ascii="Arial" w:hAnsi="Arial" w:cs="Arial"/>
                <w:szCs w:val="24"/>
              </w:rPr>
              <w:t>1965</w:t>
            </w:r>
          </w:p>
        </w:tc>
        <w:tc>
          <w:tcPr>
            <w:tcW w:w="6876" w:type="dxa"/>
            <w:gridSpan w:val="2"/>
            <w:vAlign w:val="center"/>
          </w:tcPr>
          <w:p w:rsidR="00AD0C30" w:rsidRPr="00DB0495" w:rsidRDefault="00AD0C30" w:rsidP="00194E71">
            <w:pPr>
              <w:jc w:val="both"/>
              <w:rPr>
                <w:rFonts w:ascii="Arial" w:hAnsi="Arial" w:cs="Arial"/>
                <w:szCs w:val="24"/>
              </w:rPr>
            </w:pPr>
            <w:r w:rsidRPr="00DB0495">
              <w:rPr>
                <w:rFonts w:ascii="Arial" w:hAnsi="Arial" w:cs="Arial"/>
                <w:szCs w:val="24"/>
              </w:rPr>
              <w:t>Rate increased to 4.0%</w:t>
            </w:r>
          </w:p>
        </w:tc>
      </w:tr>
      <w:tr w:rsidR="00AD0C30" w:rsidRPr="00DB0495" w:rsidTr="00194E71">
        <w:tc>
          <w:tcPr>
            <w:tcW w:w="1980" w:type="dxa"/>
            <w:vAlign w:val="center"/>
          </w:tcPr>
          <w:p w:rsidR="00AD0C30" w:rsidRPr="00DB0495" w:rsidRDefault="00AD0C30" w:rsidP="00194E71">
            <w:pPr>
              <w:jc w:val="center"/>
              <w:rPr>
                <w:rFonts w:ascii="Arial" w:hAnsi="Arial" w:cs="Arial"/>
                <w:szCs w:val="24"/>
              </w:rPr>
            </w:pPr>
            <w:r w:rsidRPr="00DB0495">
              <w:rPr>
                <w:rFonts w:ascii="Arial" w:hAnsi="Arial" w:cs="Arial"/>
                <w:szCs w:val="24"/>
              </w:rPr>
              <w:t>1967</w:t>
            </w:r>
          </w:p>
        </w:tc>
        <w:tc>
          <w:tcPr>
            <w:tcW w:w="6876" w:type="dxa"/>
            <w:gridSpan w:val="2"/>
            <w:vAlign w:val="center"/>
          </w:tcPr>
          <w:p w:rsidR="00AD0C30" w:rsidRDefault="00AD0C30" w:rsidP="00194E71">
            <w:pPr>
              <w:jc w:val="both"/>
              <w:rPr>
                <w:rFonts w:ascii="Arial" w:hAnsi="Arial" w:cs="Arial"/>
                <w:szCs w:val="24"/>
              </w:rPr>
            </w:pPr>
            <w:r>
              <w:rPr>
                <w:rFonts w:ascii="Arial" w:hAnsi="Arial" w:cs="Arial"/>
                <w:szCs w:val="24"/>
              </w:rPr>
              <w:t>Additional rates increased with 3 taxable income brackets:</w:t>
            </w:r>
          </w:p>
          <w:p w:rsidR="00AD0C30" w:rsidRPr="00DB0495" w:rsidRDefault="00AD0C30" w:rsidP="00194E71">
            <w:pPr>
              <w:jc w:val="both"/>
              <w:rPr>
                <w:rFonts w:ascii="Arial" w:hAnsi="Arial" w:cs="Arial"/>
                <w:szCs w:val="24"/>
              </w:rPr>
            </w:pPr>
            <w:r w:rsidRPr="00DB0495">
              <w:rPr>
                <w:rFonts w:ascii="Arial" w:hAnsi="Arial" w:cs="Arial"/>
                <w:szCs w:val="24"/>
              </w:rPr>
              <w:t>Up to $25,000 – 4.0%</w:t>
            </w:r>
          </w:p>
          <w:p w:rsidR="00AD0C30" w:rsidRPr="00DB0495" w:rsidRDefault="00AD0C30" w:rsidP="00194E71">
            <w:pPr>
              <w:jc w:val="both"/>
              <w:rPr>
                <w:rFonts w:ascii="Arial" w:hAnsi="Arial" w:cs="Arial"/>
                <w:szCs w:val="24"/>
              </w:rPr>
            </w:pPr>
            <w:r w:rsidRPr="00DB0495">
              <w:rPr>
                <w:rFonts w:ascii="Arial" w:hAnsi="Arial" w:cs="Arial"/>
                <w:szCs w:val="24"/>
              </w:rPr>
              <w:t>$25,000 to $100,000 – 6.0%</w:t>
            </w:r>
          </w:p>
          <w:p w:rsidR="00AD0C30" w:rsidRPr="00DB0495" w:rsidRDefault="00AD0C30" w:rsidP="00194E71">
            <w:pPr>
              <w:jc w:val="both"/>
              <w:rPr>
                <w:rFonts w:ascii="Arial" w:hAnsi="Arial" w:cs="Arial"/>
                <w:szCs w:val="24"/>
              </w:rPr>
            </w:pPr>
            <w:r w:rsidRPr="00DB0495">
              <w:rPr>
                <w:rFonts w:ascii="Arial" w:hAnsi="Arial" w:cs="Arial"/>
                <w:szCs w:val="24"/>
              </w:rPr>
              <w:t>Over $100,000 – 8.0%</w:t>
            </w:r>
          </w:p>
        </w:tc>
      </w:tr>
      <w:tr w:rsidR="00AD0C30" w:rsidRPr="00DB0495" w:rsidTr="00194E71">
        <w:tc>
          <w:tcPr>
            <w:tcW w:w="1980" w:type="dxa"/>
            <w:tcBorders>
              <w:bottom w:val="single" w:sz="6" w:space="0" w:color="auto"/>
            </w:tcBorders>
            <w:vAlign w:val="center"/>
          </w:tcPr>
          <w:p w:rsidR="00AD0C30" w:rsidRPr="00DB0495" w:rsidRDefault="00AD0C30" w:rsidP="00194E71">
            <w:pPr>
              <w:jc w:val="center"/>
              <w:rPr>
                <w:rFonts w:ascii="Arial" w:hAnsi="Arial" w:cs="Arial"/>
                <w:szCs w:val="24"/>
              </w:rPr>
            </w:pPr>
            <w:r w:rsidRPr="00DB0495">
              <w:rPr>
                <w:rFonts w:ascii="Arial" w:hAnsi="Arial" w:cs="Arial"/>
                <w:szCs w:val="24"/>
              </w:rPr>
              <w:t>1971</w:t>
            </w:r>
          </w:p>
        </w:tc>
        <w:tc>
          <w:tcPr>
            <w:tcW w:w="6876" w:type="dxa"/>
            <w:gridSpan w:val="2"/>
            <w:tcBorders>
              <w:bottom w:val="single" w:sz="6" w:space="0" w:color="auto"/>
            </w:tcBorders>
            <w:vAlign w:val="center"/>
          </w:tcPr>
          <w:p w:rsidR="00AD0C30" w:rsidRPr="00DB0495" w:rsidRDefault="00AD0C30" w:rsidP="00194E71">
            <w:pPr>
              <w:jc w:val="both"/>
              <w:rPr>
                <w:rFonts w:ascii="Arial" w:hAnsi="Arial" w:cs="Arial"/>
                <w:szCs w:val="24"/>
              </w:rPr>
            </w:pPr>
            <w:r w:rsidRPr="00DB0495">
              <w:rPr>
                <w:rFonts w:ascii="Arial" w:hAnsi="Arial" w:cs="Arial"/>
                <w:szCs w:val="24"/>
              </w:rPr>
              <w:t>Up to $25,000 – 6.0%</w:t>
            </w:r>
          </w:p>
          <w:p w:rsidR="00AD0C30" w:rsidRPr="00DB0495" w:rsidRDefault="00AD0C30" w:rsidP="00194E71">
            <w:pPr>
              <w:jc w:val="both"/>
              <w:rPr>
                <w:rFonts w:ascii="Arial" w:hAnsi="Arial" w:cs="Arial"/>
                <w:szCs w:val="24"/>
              </w:rPr>
            </w:pPr>
            <w:r w:rsidRPr="00DB0495">
              <w:rPr>
                <w:rFonts w:ascii="Arial" w:hAnsi="Arial" w:cs="Arial"/>
                <w:szCs w:val="24"/>
              </w:rPr>
              <w:t>$25,000 to $100,000 – 8.0%</w:t>
            </w:r>
          </w:p>
          <w:p w:rsidR="00AD0C30" w:rsidRPr="00DB0495" w:rsidRDefault="00AD0C30" w:rsidP="00194E71">
            <w:pPr>
              <w:jc w:val="both"/>
              <w:rPr>
                <w:rFonts w:ascii="Arial" w:hAnsi="Arial" w:cs="Arial"/>
                <w:szCs w:val="24"/>
              </w:rPr>
            </w:pPr>
            <w:r w:rsidRPr="00DB0495">
              <w:rPr>
                <w:rFonts w:ascii="Arial" w:hAnsi="Arial" w:cs="Arial"/>
                <w:szCs w:val="24"/>
              </w:rPr>
              <w:t>Over $100,000 – 10.0%</w:t>
            </w:r>
          </w:p>
        </w:tc>
      </w:tr>
      <w:tr w:rsidR="00AD0C30" w:rsidRPr="00DB0495" w:rsidTr="00194E71">
        <w:tc>
          <w:tcPr>
            <w:tcW w:w="1980" w:type="dxa"/>
            <w:tcBorders>
              <w:top w:val="single" w:sz="6" w:space="0" w:color="auto"/>
              <w:bottom w:val="single" w:sz="12" w:space="0" w:color="auto"/>
            </w:tcBorders>
            <w:vAlign w:val="center"/>
          </w:tcPr>
          <w:p w:rsidR="00AD0C30" w:rsidRPr="00DB0495" w:rsidRDefault="00AD0C30" w:rsidP="00194E71">
            <w:pPr>
              <w:jc w:val="center"/>
              <w:rPr>
                <w:rFonts w:ascii="Arial" w:hAnsi="Arial" w:cs="Arial"/>
                <w:szCs w:val="24"/>
              </w:rPr>
            </w:pPr>
            <w:r w:rsidRPr="00DB0495">
              <w:rPr>
                <w:rFonts w:ascii="Arial" w:hAnsi="Arial" w:cs="Arial"/>
                <w:szCs w:val="24"/>
              </w:rPr>
              <w:t>1981</w:t>
            </w:r>
          </w:p>
        </w:tc>
        <w:tc>
          <w:tcPr>
            <w:tcW w:w="6876" w:type="dxa"/>
            <w:gridSpan w:val="2"/>
            <w:tcBorders>
              <w:top w:val="single" w:sz="6" w:space="0" w:color="auto"/>
              <w:bottom w:val="single" w:sz="12" w:space="0" w:color="auto"/>
            </w:tcBorders>
            <w:vAlign w:val="center"/>
          </w:tcPr>
          <w:p w:rsidR="00AD0C30" w:rsidRPr="00DB0495" w:rsidRDefault="00AD0C30" w:rsidP="00194E71">
            <w:pPr>
              <w:jc w:val="both"/>
              <w:rPr>
                <w:rFonts w:ascii="Arial" w:hAnsi="Arial" w:cs="Arial"/>
                <w:szCs w:val="24"/>
              </w:rPr>
            </w:pPr>
            <w:r w:rsidRPr="00DB0495">
              <w:rPr>
                <w:rFonts w:ascii="Arial" w:hAnsi="Arial" w:cs="Arial"/>
                <w:szCs w:val="24"/>
              </w:rPr>
              <w:t>Up to $25,000 – 6.0%</w:t>
            </w:r>
          </w:p>
          <w:p w:rsidR="00AD0C30" w:rsidRPr="00DB0495" w:rsidRDefault="00AD0C30" w:rsidP="00194E71">
            <w:pPr>
              <w:jc w:val="both"/>
              <w:rPr>
                <w:rFonts w:ascii="Arial" w:hAnsi="Arial" w:cs="Arial"/>
                <w:szCs w:val="24"/>
              </w:rPr>
            </w:pPr>
            <w:r w:rsidRPr="00DB0495">
              <w:rPr>
                <w:rFonts w:ascii="Arial" w:hAnsi="Arial" w:cs="Arial"/>
                <w:szCs w:val="24"/>
              </w:rPr>
              <w:t>$25,000 to $100,000 – 8.0%</w:t>
            </w:r>
          </w:p>
          <w:p w:rsidR="00AD0C30" w:rsidRPr="00DB0495" w:rsidRDefault="00AD0C30" w:rsidP="00194E71">
            <w:pPr>
              <w:jc w:val="both"/>
              <w:rPr>
                <w:rFonts w:ascii="Arial" w:hAnsi="Arial" w:cs="Arial"/>
                <w:szCs w:val="24"/>
              </w:rPr>
            </w:pPr>
            <w:r w:rsidRPr="00DB0495">
              <w:rPr>
                <w:rFonts w:ascii="Arial" w:hAnsi="Arial" w:cs="Arial"/>
                <w:szCs w:val="24"/>
              </w:rPr>
              <w:t>$100,000 to $250,000 – 10.0%</w:t>
            </w:r>
          </w:p>
          <w:p w:rsidR="00AD0C30" w:rsidRPr="00DB0495" w:rsidRDefault="00AD0C30" w:rsidP="00194E71">
            <w:pPr>
              <w:jc w:val="both"/>
              <w:rPr>
                <w:rFonts w:ascii="Arial" w:hAnsi="Arial" w:cs="Arial"/>
                <w:szCs w:val="24"/>
              </w:rPr>
            </w:pPr>
            <w:r w:rsidRPr="00DB0495">
              <w:rPr>
                <w:rFonts w:ascii="Arial" w:hAnsi="Arial" w:cs="Arial"/>
                <w:szCs w:val="24"/>
              </w:rPr>
              <w:t>Over $250,000 – 12.0%</w:t>
            </w:r>
          </w:p>
        </w:tc>
      </w:tr>
    </w:tbl>
    <w:p w:rsidR="00AB4620" w:rsidRPr="00DB0495" w:rsidRDefault="00AB4620" w:rsidP="00AB4620">
      <w:pPr>
        <w:spacing w:before="120" w:after="240"/>
        <w:jc w:val="both"/>
        <w:rPr>
          <w:rFonts w:ascii="Arial" w:hAnsi="Arial" w:cs="Arial"/>
          <w:szCs w:val="24"/>
        </w:rPr>
      </w:pPr>
      <w:r w:rsidRPr="00DB0495">
        <w:rPr>
          <w:rFonts w:ascii="Arial" w:hAnsi="Arial" w:cs="Arial"/>
          <w:szCs w:val="24"/>
        </w:rPr>
        <w:t xml:space="preserve">The starting point for the determination of tax liability for Iowa corporate income tax is net income from the federal return. Corporations that have sales both within Iowa and outside the State only owe tax on </w:t>
      </w:r>
      <w:r>
        <w:rPr>
          <w:rFonts w:ascii="Arial" w:hAnsi="Arial" w:cs="Arial"/>
          <w:szCs w:val="24"/>
        </w:rPr>
        <w:t xml:space="preserve">a portion of income </w:t>
      </w:r>
      <w:r w:rsidRPr="00DB0495">
        <w:rPr>
          <w:rFonts w:ascii="Arial" w:hAnsi="Arial" w:cs="Arial"/>
          <w:szCs w:val="24"/>
        </w:rPr>
        <w:t>based on the ratio of sales within Iowa to total sales nationally. Basing Iowa’s apportionment formula exclusively on sales is believed to provide a competitive advantage in attracting new business to the state, particularly manufacturers.</w:t>
      </w:r>
    </w:p>
    <w:p w:rsidR="00AB4620" w:rsidRPr="00DB0495" w:rsidRDefault="00AB4620" w:rsidP="00AB4620">
      <w:pPr>
        <w:spacing w:after="240"/>
        <w:jc w:val="both"/>
        <w:rPr>
          <w:rFonts w:ascii="Arial" w:hAnsi="Arial" w:cs="Arial"/>
          <w:szCs w:val="24"/>
        </w:rPr>
      </w:pPr>
      <w:r w:rsidRPr="00DB0495">
        <w:rPr>
          <w:rFonts w:ascii="Arial" w:hAnsi="Arial" w:cs="Arial"/>
          <w:szCs w:val="24"/>
        </w:rPr>
        <w:t>Other signifi</w:t>
      </w:r>
      <w:r>
        <w:rPr>
          <w:rFonts w:ascii="Arial" w:hAnsi="Arial" w:cs="Arial"/>
          <w:szCs w:val="24"/>
        </w:rPr>
        <w:t>cant features of Iowa’s corporation</w:t>
      </w:r>
      <w:r w:rsidRPr="00DB0495">
        <w:rPr>
          <w:rFonts w:ascii="Arial" w:hAnsi="Arial" w:cs="Arial"/>
          <w:szCs w:val="24"/>
        </w:rPr>
        <w:t xml:space="preserve"> income tax include:</w:t>
      </w:r>
    </w:p>
    <w:p w:rsidR="00AB4620" w:rsidRPr="00DB0495" w:rsidRDefault="00AB4620" w:rsidP="00AB4620">
      <w:pPr>
        <w:numPr>
          <w:ilvl w:val="0"/>
          <w:numId w:val="26"/>
        </w:numPr>
        <w:spacing w:after="60"/>
        <w:jc w:val="both"/>
        <w:rPr>
          <w:rFonts w:ascii="Arial" w:hAnsi="Arial" w:cs="Arial"/>
          <w:szCs w:val="24"/>
        </w:rPr>
      </w:pPr>
      <w:r w:rsidRPr="00DB0495">
        <w:rPr>
          <w:rFonts w:ascii="Arial" w:hAnsi="Arial" w:cs="Arial"/>
          <w:szCs w:val="24"/>
        </w:rPr>
        <w:t>No nationwide combined reporting,</w:t>
      </w:r>
    </w:p>
    <w:p w:rsidR="00AB4620" w:rsidRPr="00DB0495" w:rsidRDefault="00AB4620" w:rsidP="00AB4620">
      <w:pPr>
        <w:numPr>
          <w:ilvl w:val="0"/>
          <w:numId w:val="28"/>
        </w:numPr>
        <w:spacing w:after="60"/>
        <w:jc w:val="both"/>
        <w:rPr>
          <w:rFonts w:ascii="Arial" w:hAnsi="Arial" w:cs="Arial"/>
          <w:szCs w:val="24"/>
        </w:rPr>
      </w:pPr>
      <w:r w:rsidRPr="00DB0495">
        <w:rPr>
          <w:rFonts w:ascii="Arial" w:hAnsi="Arial" w:cs="Arial"/>
          <w:szCs w:val="24"/>
        </w:rPr>
        <w:t>A deduction for 50 percent of federal tax payments</w:t>
      </w:r>
      <w:r>
        <w:rPr>
          <w:rFonts w:ascii="Arial" w:hAnsi="Arial" w:cs="Arial"/>
          <w:szCs w:val="24"/>
        </w:rPr>
        <w:t xml:space="preserve"> less refunds received</w:t>
      </w:r>
      <w:r w:rsidRPr="00DB0495">
        <w:rPr>
          <w:rFonts w:ascii="Arial" w:hAnsi="Arial" w:cs="Arial"/>
          <w:szCs w:val="24"/>
        </w:rPr>
        <w:t>,</w:t>
      </w:r>
    </w:p>
    <w:p w:rsidR="00AB4620" w:rsidRPr="00DB0495" w:rsidRDefault="00AB4620" w:rsidP="00AB4620">
      <w:pPr>
        <w:numPr>
          <w:ilvl w:val="0"/>
          <w:numId w:val="30"/>
        </w:numPr>
        <w:spacing w:after="60"/>
        <w:jc w:val="both"/>
        <w:rPr>
          <w:rFonts w:ascii="Arial" w:hAnsi="Arial" w:cs="Arial"/>
          <w:szCs w:val="24"/>
        </w:rPr>
      </w:pPr>
      <w:r w:rsidRPr="00DB0495">
        <w:rPr>
          <w:rFonts w:ascii="Arial" w:hAnsi="Arial" w:cs="Arial"/>
          <w:szCs w:val="24"/>
        </w:rPr>
        <w:t xml:space="preserve">Allowing operating losses to be carried forward 20 years, and </w:t>
      </w:r>
    </w:p>
    <w:p w:rsidR="00AB4620" w:rsidRPr="00DB0495" w:rsidRDefault="00AB4620" w:rsidP="00AB4620">
      <w:pPr>
        <w:numPr>
          <w:ilvl w:val="0"/>
          <w:numId w:val="32"/>
        </w:numPr>
        <w:spacing w:after="60"/>
        <w:jc w:val="both"/>
        <w:rPr>
          <w:rFonts w:ascii="Arial" w:hAnsi="Arial" w:cs="Arial"/>
          <w:szCs w:val="24"/>
        </w:rPr>
      </w:pPr>
      <w:r w:rsidRPr="00DB0495">
        <w:rPr>
          <w:rFonts w:ascii="Arial" w:hAnsi="Arial" w:cs="Arial"/>
          <w:szCs w:val="24"/>
        </w:rPr>
        <w:t>Excluding foreign dividends from taxable income.</w:t>
      </w:r>
    </w:p>
    <w:p w:rsidR="00AB4620" w:rsidRPr="002A0612" w:rsidRDefault="00AB4620" w:rsidP="002A0612">
      <w:pPr>
        <w:jc w:val="both"/>
        <w:rPr>
          <w:rFonts w:ascii="Arial" w:hAnsi="Arial" w:cs="Arial"/>
          <w:szCs w:val="24"/>
        </w:rPr>
      </w:pPr>
      <w:r w:rsidRPr="002A0612">
        <w:rPr>
          <w:rFonts w:ascii="Arial" w:hAnsi="Arial" w:cs="Arial"/>
          <w:szCs w:val="24"/>
        </w:rPr>
        <w:t xml:space="preserve">In tax year 2010, 32,212 C-corporations filed Iowa corporation tax returns; 19,346 (60.1%) of these corporations reported all of their sales within Iowa. The remaining 9,419 corporate filers had sales both within Iowa and outside the state. The total tax liability of C-corporations for tax year 2010 equaled $247.6 million. Corporations that apportioned income accounted for $220.6 million of the tax liability. </w:t>
      </w:r>
    </w:p>
    <w:p w:rsidR="00AB4620" w:rsidRDefault="00AB4620" w:rsidP="00AB4620">
      <w:pPr>
        <w:rPr>
          <w:rFonts w:ascii="Arial" w:hAnsi="Arial" w:cs="Arial"/>
          <w:szCs w:val="24"/>
        </w:rPr>
      </w:pPr>
      <w:r>
        <w:br w:type="page"/>
      </w:r>
    </w:p>
    <w:p w:rsidR="00596ED6" w:rsidRPr="00DB0495" w:rsidRDefault="00596ED6" w:rsidP="00AB4620">
      <w:pPr>
        <w:pStyle w:val="Heading2"/>
      </w:pPr>
      <w:r w:rsidRPr="00DB0495">
        <w:lastRenderedPageBreak/>
        <w:t>Sales and Use Taxes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DB0495">
        <w:t xml:space="preserve"> </w:t>
      </w:r>
    </w:p>
    <w:p w:rsidR="005016EE" w:rsidRPr="001F1486" w:rsidRDefault="00BA6807" w:rsidP="00DB0495">
      <w:pPr>
        <w:spacing w:after="240"/>
        <w:jc w:val="both"/>
        <w:rPr>
          <w:rFonts w:ascii="Arial" w:hAnsi="Arial" w:cs="Arial"/>
          <w:szCs w:val="24"/>
        </w:rPr>
      </w:pPr>
      <w:r w:rsidRPr="001F1486">
        <w:rPr>
          <w:rFonts w:ascii="Arial" w:hAnsi="Arial" w:cs="Arial"/>
          <w:szCs w:val="24"/>
        </w:rPr>
        <w:t xml:space="preserve">Both the Iowa sales tax and the use tax were enacted </w:t>
      </w:r>
      <w:r w:rsidR="00596ED6" w:rsidRPr="001F1486">
        <w:rPr>
          <w:rFonts w:ascii="Arial" w:hAnsi="Arial" w:cs="Arial"/>
          <w:szCs w:val="24"/>
        </w:rPr>
        <w:t>in 1934</w:t>
      </w:r>
      <w:r w:rsidRPr="001F1486">
        <w:rPr>
          <w:rFonts w:ascii="Arial" w:hAnsi="Arial" w:cs="Arial"/>
          <w:szCs w:val="24"/>
        </w:rPr>
        <w:t>.</w:t>
      </w:r>
      <w:r w:rsidR="004E54B8">
        <w:rPr>
          <w:rFonts w:ascii="Arial" w:hAnsi="Arial" w:cs="Arial"/>
          <w:szCs w:val="24"/>
        </w:rPr>
        <w:t xml:space="preserve"> </w:t>
      </w:r>
      <w:r w:rsidRPr="001F1486">
        <w:rPr>
          <w:rFonts w:ascii="Arial" w:hAnsi="Arial" w:cs="Arial"/>
          <w:szCs w:val="24"/>
        </w:rPr>
        <w:t>Sales tax is imposed on the gross receipts from the sale of tangible personal property sold at retail and of enumerated services.</w:t>
      </w:r>
      <w:r w:rsidR="004E54B8">
        <w:rPr>
          <w:rFonts w:ascii="Arial" w:hAnsi="Arial" w:cs="Arial"/>
          <w:szCs w:val="24"/>
        </w:rPr>
        <w:t xml:space="preserve"> </w:t>
      </w:r>
      <w:r w:rsidRPr="001F1486">
        <w:rPr>
          <w:rFonts w:ascii="Arial" w:hAnsi="Arial" w:cs="Arial"/>
          <w:szCs w:val="24"/>
        </w:rPr>
        <w:t xml:space="preserve">The </w:t>
      </w:r>
      <w:r w:rsidR="005016EE" w:rsidRPr="001F1486">
        <w:rPr>
          <w:rFonts w:ascii="Arial" w:hAnsi="Arial" w:cs="Arial"/>
          <w:szCs w:val="24"/>
        </w:rPr>
        <w:t>use tax is meant to complement the Iowa sales tax.</w:t>
      </w:r>
      <w:r w:rsidR="004E54B8">
        <w:rPr>
          <w:rFonts w:ascii="Arial" w:hAnsi="Arial" w:cs="Arial"/>
          <w:szCs w:val="24"/>
        </w:rPr>
        <w:t xml:space="preserve"> </w:t>
      </w:r>
      <w:r w:rsidR="005016EE" w:rsidRPr="001F1486">
        <w:rPr>
          <w:rFonts w:ascii="Arial" w:hAnsi="Arial" w:cs="Arial"/>
          <w:szCs w:val="24"/>
        </w:rPr>
        <w:t>The general rule is that a transaction is subject to Iowa use tax when it is completed outside the State but involves tangible person</w:t>
      </w:r>
      <w:r w:rsidR="005C65C6" w:rsidRPr="001F1486">
        <w:rPr>
          <w:rFonts w:ascii="Arial" w:hAnsi="Arial" w:cs="Arial"/>
          <w:szCs w:val="24"/>
        </w:rPr>
        <w:t>al property sold for use in Iowa</w:t>
      </w:r>
      <w:r w:rsidR="005016EE" w:rsidRPr="001F1486">
        <w:rPr>
          <w:rFonts w:ascii="Arial" w:hAnsi="Arial" w:cs="Arial"/>
          <w:szCs w:val="24"/>
        </w:rPr>
        <w:t>.</w:t>
      </w:r>
      <w:r w:rsidR="004E54B8">
        <w:rPr>
          <w:rFonts w:ascii="Arial" w:hAnsi="Arial" w:cs="Arial"/>
          <w:szCs w:val="24"/>
        </w:rPr>
        <w:t xml:space="preserve"> </w:t>
      </w:r>
      <w:r w:rsidR="005016EE" w:rsidRPr="001F1486">
        <w:rPr>
          <w:rFonts w:ascii="Arial" w:hAnsi="Arial" w:cs="Arial"/>
          <w:szCs w:val="24"/>
        </w:rPr>
        <w:t>The principle also applies to the sale of taxable services purchased outside of Iowa for use in Iowa.</w:t>
      </w:r>
      <w:r w:rsidR="004E54B8">
        <w:rPr>
          <w:rFonts w:ascii="Arial" w:hAnsi="Arial" w:cs="Arial"/>
          <w:szCs w:val="24"/>
        </w:rPr>
        <w:t xml:space="preserve"> </w:t>
      </w:r>
      <w:r w:rsidR="005016EE" w:rsidRPr="001F1486">
        <w:rPr>
          <w:rFonts w:ascii="Arial" w:hAnsi="Arial" w:cs="Arial"/>
          <w:szCs w:val="24"/>
        </w:rPr>
        <w:t xml:space="preserve">Any transaction where sales tax </w:t>
      </w:r>
      <w:r w:rsidR="00C94284" w:rsidRPr="001F1486">
        <w:rPr>
          <w:rFonts w:ascii="Arial" w:hAnsi="Arial" w:cs="Arial"/>
          <w:szCs w:val="24"/>
        </w:rPr>
        <w:t xml:space="preserve">has been paid, </w:t>
      </w:r>
      <w:r w:rsidR="005C65C6" w:rsidRPr="001F1486">
        <w:rPr>
          <w:rFonts w:ascii="Arial" w:hAnsi="Arial" w:cs="Arial"/>
          <w:szCs w:val="24"/>
        </w:rPr>
        <w:t>at a rate equal to or higher than the Iowa sales tax rate</w:t>
      </w:r>
      <w:r w:rsidR="00C94284" w:rsidRPr="001F1486">
        <w:rPr>
          <w:rFonts w:ascii="Arial" w:hAnsi="Arial" w:cs="Arial"/>
          <w:szCs w:val="24"/>
        </w:rPr>
        <w:t>,</w:t>
      </w:r>
      <w:r w:rsidR="005C65C6" w:rsidRPr="001F1486">
        <w:rPr>
          <w:rFonts w:ascii="Arial" w:hAnsi="Arial" w:cs="Arial"/>
          <w:szCs w:val="24"/>
        </w:rPr>
        <w:t xml:space="preserve"> </w:t>
      </w:r>
      <w:r w:rsidR="005016EE" w:rsidRPr="001F1486">
        <w:rPr>
          <w:rFonts w:ascii="Arial" w:hAnsi="Arial" w:cs="Arial"/>
          <w:szCs w:val="24"/>
        </w:rPr>
        <w:t>is exempt from use tax.</w:t>
      </w:r>
    </w:p>
    <w:p w:rsidR="00596ED6" w:rsidRDefault="005C65C6" w:rsidP="00DB0495">
      <w:pPr>
        <w:spacing w:after="240"/>
        <w:jc w:val="both"/>
        <w:rPr>
          <w:rFonts w:ascii="Arial" w:hAnsi="Arial" w:cs="Arial"/>
          <w:szCs w:val="24"/>
        </w:rPr>
      </w:pPr>
      <w:r w:rsidRPr="001F1486">
        <w:rPr>
          <w:rFonts w:ascii="Arial" w:hAnsi="Arial" w:cs="Arial"/>
          <w:szCs w:val="24"/>
        </w:rPr>
        <w:t>The sales</w:t>
      </w:r>
      <w:r w:rsidR="005E3679" w:rsidRPr="001F1486">
        <w:rPr>
          <w:rFonts w:ascii="Arial" w:hAnsi="Arial" w:cs="Arial"/>
          <w:szCs w:val="24"/>
        </w:rPr>
        <w:t xml:space="preserve"> and use</w:t>
      </w:r>
      <w:r w:rsidRPr="001F1486">
        <w:rPr>
          <w:rFonts w:ascii="Arial" w:hAnsi="Arial" w:cs="Arial"/>
          <w:szCs w:val="24"/>
        </w:rPr>
        <w:t xml:space="preserve"> tax rate </w:t>
      </w:r>
      <w:r w:rsidR="009E019C" w:rsidRPr="001F1486">
        <w:rPr>
          <w:rFonts w:ascii="Arial" w:hAnsi="Arial" w:cs="Arial"/>
          <w:szCs w:val="24"/>
        </w:rPr>
        <w:t>in 20</w:t>
      </w:r>
      <w:r w:rsidR="00B97C9E" w:rsidRPr="001F1486">
        <w:rPr>
          <w:rFonts w:ascii="Arial" w:hAnsi="Arial" w:cs="Arial"/>
          <w:szCs w:val="24"/>
        </w:rPr>
        <w:t>1</w:t>
      </w:r>
      <w:r w:rsidR="009E019C" w:rsidRPr="001F1486">
        <w:rPr>
          <w:rFonts w:ascii="Arial" w:hAnsi="Arial" w:cs="Arial"/>
          <w:szCs w:val="24"/>
        </w:rPr>
        <w:t xml:space="preserve">0 </w:t>
      </w:r>
      <w:r w:rsidR="00B97C9E" w:rsidRPr="001F1486">
        <w:rPr>
          <w:rFonts w:ascii="Arial" w:hAnsi="Arial" w:cs="Arial"/>
          <w:szCs w:val="24"/>
        </w:rPr>
        <w:t>equaled six percent and wa</w:t>
      </w:r>
      <w:r w:rsidRPr="001F1486">
        <w:rPr>
          <w:rFonts w:ascii="Arial" w:hAnsi="Arial" w:cs="Arial"/>
          <w:szCs w:val="24"/>
        </w:rPr>
        <w:t>s applied to most purchases of goods and a select group of service</w:t>
      </w:r>
      <w:r w:rsidR="00C94284" w:rsidRPr="001F1486">
        <w:rPr>
          <w:rFonts w:ascii="Arial" w:hAnsi="Arial" w:cs="Arial"/>
          <w:szCs w:val="24"/>
        </w:rPr>
        <w:t>s</w:t>
      </w:r>
      <w:r w:rsidRPr="001F1486">
        <w:rPr>
          <w:rFonts w:ascii="Arial" w:hAnsi="Arial" w:cs="Arial"/>
          <w:szCs w:val="24"/>
        </w:rPr>
        <w:t xml:space="preserve">. </w:t>
      </w:r>
      <w:r w:rsidR="00007F25" w:rsidRPr="001F1486">
        <w:rPr>
          <w:rFonts w:ascii="Arial" w:hAnsi="Arial" w:cs="Arial"/>
          <w:szCs w:val="24"/>
        </w:rPr>
        <w:t>One percentage point of the Iowa sales and use tax is appropriated to school infrastructure and property tax relief.</w:t>
      </w:r>
      <w:r w:rsidR="004E54B8">
        <w:rPr>
          <w:rFonts w:ascii="Arial" w:hAnsi="Arial" w:cs="Arial"/>
          <w:szCs w:val="24"/>
        </w:rPr>
        <w:t xml:space="preserve"> </w:t>
      </w:r>
      <w:r w:rsidR="00596ED6" w:rsidRPr="001F1486">
        <w:rPr>
          <w:rFonts w:ascii="Arial" w:hAnsi="Arial" w:cs="Arial"/>
          <w:szCs w:val="24"/>
        </w:rPr>
        <w:t xml:space="preserve">Additionally, </w:t>
      </w:r>
      <w:r w:rsidR="00007F25" w:rsidRPr="001F1486">
        <w:rPr>
          <w:rFonts w:ascii="Arial" w:hAnsi="Arial" w:cs="Arial"/>
          <w:szCs w:val="24"/>
        </w:rPr>
        <w:t>a</w:t>
      </w:r>
      <w:r w:rsidR="005E3679" w:rsidRPr="001F1486">
        <w:rPr>
          <w:rFonts w:ascii="Arial" w:hAnsi="Arial" w:cs="Arial"/>
          <w:szCs w:val="24"/>
        </w:rPr>
        <w:t xml:space="preserve"> </w:t>
      </w:r>
      <w:r w:rsidR="00596ED6" w:rsidRPr="001F1486">
        <w:rPr>
          <w:rFonts w:ascii="Arial" w:hAnsi="Arial" w:cs="Arial"/>
          <w:szCs w:val="24"/>
        </w:rPr>
        <w:t xml:space="preserve">local option sales tax may apply with a maximum rate of one percent for a maximum </w:t>
      </w:r>
      <w:r w:rsidR="00007F25" w:rsidRPr="001F1486">
        <w:rPr>
          <w:rFonts w:ascii="Arial" w:hAnsi="Arial" w:cs="Arial"/>
          <w:szCs w:val="24"/>
        </w:rPr>
        <w:t>S</w:t>
      </w:r>
      <w:r w:rsidR="00596ED6" w:rsidRPr="001F1486">
        <w:rPr>
          <w:rFonts w:ascii="Arial" w:hAnsi="Arial" w:cs="Arial"/>
          <w:szCs w:val="24"/>
        </w:rPr>
        <w:t>tate and local sales tax rate of seven percent.</w:t>
      </w:r>
      <w:r w:rsidR="004E54B8">
        <w:rPr>
          <w:rFonts w:ascii="Arial" w:hAnsi="Arial" w:cs="Arial"/>
          <w:szCs w:val="24"/>
        </w:rPr>
        <w:t xml:space="preserve"> </w:t>
      </w:r>
      <w:r w:rsidR="005E3679" w:rsidRPr="001F1486">
        <w:rPr>
          <w:rFonts w:ascii="Arial" w:hAnsi="Arial" w:cs="Arial"/>
          <w:szCs w:val="24"/>
        </w:rPr>
        <w:t>The</w:t>
      </w:r>
      <w:r w:rsidR="00596ED6" w:rsidRPr="001F1486">
        <w:rPr>
          <w:rFonts w:ascii="Arial" w:hAnsi="Arial" w:cs="Arial"/>
          <w:szCs w:val="24"/>
        </w:rPr>
        <w:t xml:space="preserve"> local option sales tax </w:t>
      </w:r>
      <w:r w:rsidR="00007F25" w:rsidRPr="001F1486">
        <w:rPr>
          <w:rFonts w:ascii="Arial" w:hAnsi="Arial" w:cs="Arial"/>
          <w:szCs w:val="24"/>
        </w:rPr>
        <w:t>is</w:t>
      </w:r>
      <w:r w:rsidR="00596ED6" w:rsidRPr="001F1486">
        <w:rPr>
          <w:rFonts w:ascii="Arial" w:hAnsi="Arial" w:cs="Arial"/>
          <w:szCs w:val="24"/>
        </w:rPr>
        <w:t xml:space="preserve"> a local government tax</w:t>
      </w:r>
      <w:r w:rsidR="00007F25" w:rsidRPr="001F1486">
        <w:rPr>
          <w:rFonts w:ascii="Arial" w:hAnsi="Arial" w:cs="Arial"/>
          <w:szCs w:val="24"/>
        </w:rPr>
        <w:t xml:space="preserve"> and is not taken into consideration in the estimates presented</w:t>
      </w:r>
      <w:r w:rsidR="00596ED6" w:rsidRPr="001F1486">
        <w:rPr>
          <w:rFonts w:ascii="Arial" w:hAnsi="Arial" w:cs="Arial"/>
          <w:szCs w:val="24"/>
        </w:rPr>
        <w:t>.</w:t>
      </w:r>
      <w:r w:rsidR="004E54B8">
        <w:rPr>
          <w:rFonts w:ascii="Arial" w:hAnsi="Arial" w:cs="Arial"/>
          <w:szCs w:val="24"/>
        </w:rPr>
        <w:t xml:space="preserve"> </w:t>
      </w:r>
      <w:r w:rsidR="005016EE" w:rsidRPr="001F1486">
        <w:rPr>
          <w:rFonts w:ascii="Arial" w:hAnsi="Arial" w:cs="Arial"/>
          <w:szCs w:val="24"/>
        </w:rPr>
        <w:t xml:space="preserve">The history of the </w:t>
      </w:r>
      <w:r w:rsidR="00007F25" w:rsidRPr="001F1486">
        <w:rPr>
          <w:rFonts w:ascii="Arial" w:hAnsi="Arial" w:cs="Arial"/>
          <w:szCs w:val="24"/>
        </w:rPr>
        <w:t xml:space="preserve">Iowa </w:t>
      </w:r>
      <w:r w:rsidR="005016EE" w:rsidRPr="001F1486">
        <w:rPr>
          <w:rFonts w:ascii="Arial" w:hAnsi="Arial" w:cs="Arial"/>
          <w:szCs w:val="24"/>
        </w:rPr>
        <w:t xml:space="preserve">sales and use tax rate </w:t>
      </w:r>
      <w:r w:rsidR="00DA7A7F" w:rsidRPr="001F1486">
        <w:rPr>
          <w:rFonts w:ascii="Arial" w:hAnsi="Arial" w:cs="Arial"/>
          <w:szCs w:val="24"/>
        </w:rPr>
        <w:t>is presented</w:t>
      </w:r>
      <w:r w:rsidR="005016EE" w:rsidRPr="001F1486">
        <w:rPr>
          <w:rFonts w:ascii="Arial" w:hAnsi="Arial" w:cs="Arial"/>
          <w:szCs w:val="24"/>
        </w:rPr>
        <w:t xml:space="preserve"> in the table below.</w:t>
      </w:r>
    </w:p>
    <w:p w:rsidR="00C96C55" w:rsidRPr="001F1486" w:rsidRDefault="00C96C55" w:rsidP="00C96C55">
      <w:pPr>
        <w:jc w:val="center"/>
        <w:rPr>
          <w:rFonts w:ascii="Arial" w:hAnsi="Arial" w:cs="Arial"/>
          <w:szCs w:val="24"/>
        </w:rPr>
      </w:pPr>
      <w:r w:rsidRPr="00C96C55">
        <w:rPr>
          <w:rFonts w:ascii="Arial" w:hAnsi="Arial" w:cs="Arial"/>
          <w:b/>
          <w:bCs/>
          <w:color w:val="000000"/>
          <w:szCs w:val="24"/>
        </w:rPr>
        <w:t>History of Iowa Sales and Use Tax Rates</w:t>
      </w:r>
    </w:p>
    <w:tbl>
      <w:tblPr>
        <w:tblW w:w="4600" w:type="dxa"/>
        <w:jc w:val="center"/>
        <w:tblInd w:w="93" w:type="dxa"/>
        <w:tblLook w:val="04A0" w:firstRow="1" w:lastRow="0" w:firstColumn="1" w:lastColumn="0" w:noHBand="0" w:noVBand="1"/>
      </w:tblPr>
      <w:tblGrid>
        <w:gridCol w:w="2320"/>
        <w:gridCol w:w="2280"/>
      </w:tblGrid>
      <w:tr w:rsidR="00C96C55" w:rsidRPr="00C96C55" w:rsidTr="00C96C55">
        <w:trPr>
          <w:trHeight w:val="300"/>
          <w:jc w:val="center"/>
        </w:trPr>
        <w:tc>
          <w:tcPr>
            <w:tcW w:w="2320" w:type="dxa"/>
            <w:tcBorders>
              <w:top w:val="single" w:sz="8" w:space="0" w:color="auto"/>
              <w:left w:val="nil"/>
              <w:bottom w:val="single" w:sz="4" w:space="0" w:color="auto"/>
              <w:right w:val="nil"/>
            </w:tcBorders>
            <w:shd w:val="clear" w:color="000000" w:fill="FFFFFF"/>
            <w:vAlign w:val="center"/>
            <w:hideMark/>
          </w:tcPr>
          <w:p w:rsidR="00C96C55" w:rsidRPr="00C96C55" w:rsidRDefault="00C96C55" w:rsidP="00C96C55">
            <w:pPr>
              <w:jc w:val="center"/>
              <w:rPr>
                <w:rFonts w:ascii="Arial" w:hAnsi="Arial" w:cs="Arial"/>
                <w:b/>
                <w:color w:val="000000"/>
                <w:szCs w:val="24"/>
              </w:rPr>
            </w:pPr>
            <w:r w:rsidRPr="00C96C55">
              <w:rPr>
                <w:rFonts w:ascii="Arial" w:hAnsi="Arial" w:cs="Arial"/>
                <w:b/>
                <w:color w:val="000000"/>
                <w:szCs w:val="24"/>
              </w:rPr>
              <w:t>Date of Change</w:t>
            </w:r>
          </w:p>
        </w:tc>
        <w:tc>
          <w:tcPr>
            <w:tcW w:w="2280" w:type="dxa"/>
            <w:tcBorders>
              <w:top w:val="single" w:sz="8" w:space="0" w:color="auto"/>
              <w:left w:val="nil"/>
              <w:bottom w:val="single" w:sz="4" w:space="0" w:color="auto"/>
              <w:right w:val="nil"/>
            </w:tcBorders>
            <w:shd w:val="clear" w:color="000000" w:fill="FFFFFF"/>
            <w:vAlign w:val="center"/>
            <w:hideMark/>
          </w:tcPr>
          <w:p w:rsidR="00C96C55" w:rsidRPr="00C96C55" w:rsidRDefault="00C96C55" w:rsidP="00C96C55">
            <w:pPr>
              <w:jc w:val="center"/>
              <w:rPr>
                <w:rFonts w:ascii="Arial" w:hAnsi="Arial" w:cs="Arial"/>
                <w:b/>
                <w:color w:val="000000"/>
                <w:szCs w:val="24"/>
              </w:rPr>
            </w:pPr>
            <w:r w:rsidRPr="00C96C55">
              <w:rPr>
                <w:rFonts w:ascii="Arial" w:hAnsi="Arial" w:cs="Arial"/>
                <w:b/>
                <w:color w:val="000000"/>
                <w:szCs w:val="24"/>
              </w:rPr>
              <w:t>Tax Rate</w:t>
            </w:r>
          </w:p>
        </w:tc>
      </w:tr>
      <w:tr w:rsidR="00C96C55" w:rsidRPr="00C96C55" w:rsidTr="00C96C55">
        <w:trPr>
          <w:trHeight w:val="300"/>
          <w:jc w:val="center"/>
        </w:trPr>
        <w:tc>
          <w:tcPr>
            <w:tcW w:w="2320" w:type="dxa"/>
            <w:tcBorders>
              <w:top w:val="single" w:sz="4" w:space="0" w:color="auto"/>
              <w:left w:val="nil"/>
              <w:bottom w:val="nil"/>
              <w:right w:val="nil"/>
            </w:tcBorders>
            <w:shd w:val="clear" w:color="000000" w:fill="FFFFFF"/>
            <w:vAlign w:val="center"/>
            <w:hideMark/>
          </w:tcPr>
          <w:p w:rsidR="00C96C55" w:rsidRPr="00C96C55" w:rsidRDefault="00C96C55" w:rsidP="00C96C55">
            <w:pPr>
              <w:jc w:val="center"/>
              <w:rPr>
                <w:rFonts w:ascii="Arial" w:hAnsi="Arial" w:cs="Arial"/>
                <w:color w:val="000000"/>
                <w:szCs w:val="24"/>
              </w:rPr>
            </w:pPr>
            <w:r w:rsidRPr="00C96C55">
              <w:rPr>
                <w:rFonts w:ascii="Arial" w:hAnsi="Arial" w:cs="Arial"/>
                <w:color w:val="000000"/>
                <w:szCs w:val="24"/>
              </w:rPr>
              <w:t>April 1, 1934</w:t>
            </w:r>
          </w:p>
        </w:tc>
        <w:tc>
          <w:tcPr>
            <w:tcW w:w="2280" w:type="dxa"/>
            <w:tcBorders>
              <w:top w:val="single" w:sz="4" w:space="0" w:color="auto"/>
              <w:left w:val="nil"/>
              <w:bottom w:val="nil"/>
              <w:right w:val="nil"/>
            </w:tcBorders>
            <w:shd w:val="clear" w:color="000000" w:fill="FFFFFF"/>
            <w:vAlign w:val="center"/>
            <w:hideMark/>
          </w:tcPr>
          <w:p w:rsidR="00C96C55" w:rsidRPr="00C96C55" w:rsidRDefault="00C96C55" w:rsidP="00C96C55">
            <w:pPr>
              <w:jc w:val="center"/>
              <w:rPr>
                <w:rFonts w:ascii="Arial" w:hAnsi="Arial" w:cs="Arial"/>
                <w:color w:val="000000"/>
                <w:szCs w:val="24"/>
              </w:rPr>
            </w:pPr>
            <w:r w:rsidRPr="00C96C55">
              <w:rPr>
                <w:rFonts w:ascii="Arial" w:hAnsi="Arial" w:cs="Arial"/>
                <w:color w:val="000000"/>
                <w:szCs w:val="24"/>
              </w:rPr>
              <w:t>2.00%</w:t>
            </w:r>
          </w:p>
        </w:tc>
      </w:tr>
      <w:tr w:rsidR="00C96C55" w:rsidRPr="00C96C55" w:rsidTr="00C96C55">
        <w:trPr>
          <w:trHeight w:val="300"/>
          <w:jc w:val="center"/>
        </w:trPr>
        <w:tc>
          <w:tcPr>
            <w:tcW w:w="2320" w:type="dxa"/>
            <w:tcBorders>
              <w:top w:val="nil"/>
              <w:left w:val="nil"/>
              <w:bottom w:val="nil"/>
              <w:right w:val="nil"/>
            </w:tcBorders>
            <w:shd w:val="clear" w:color="000000" w:fill="FFFFFF"/>
            <w:vAlign w:val="center"/>
            <w:hideMark/>
          </w:tcPr>
          <w:p w:rsidR="00C96C55" w:rsidRPr="00C96C55" w:rsidRDefault="00C96C55" w:rsidP="00C96C55">
            <w:pPr>
              <w:jc w:val="center"/>
              <w:rPr>
                <w:rFonts w:ascii="Arial" w:hAnsi="Arial" w:cs="Arial"/>
                <w:color w:val="000000"/>
                <w:szCs w:val="24"/>
              </w:rPr>
            </w:pPr>
            <w:r w:rsidRPr="00C96C55">
              <w:rPr>
                <w:rFonts w:ascii="Arial" w:hAnsi="Arial" w:cs="Arial"/>
                <w:color w:val="000000"/>
                <w:szCs w:val="24"/>
              </w:rPr>
              <w:t>July 1, 1955</w:t>
            </w:r>
          </w:p>
        </w:tc>
        <w:tc>
          <w:tcPr>
            <w:tcW w:w="2280" w:type="dxa"/>
            <w:tcBorders>
              <w:top w:val="nil"/>
              <w:left w:val="nil"/>
              <w:bottom w:val="nil"/>
              <w:right w:val="nil"/>
            </w:tcBorders>
            <w:shd w:val="clear" w:color="000000" w:fill="FFFFFF"/>
            <w:vAlign w:val="center"/>
            <w:hideMark/>
          </w:tcPr>
          <w:p w:rsidR="00C96C55" w:rsidRPr="00C96C55" w:rsidRDefault="00C96C55" w:rsidP="00C96C55">
            <w:pPr>
              <w:jc w:val="center"/>
              <w:rPr>
                <w:rFonts w:ascii="Arial" w:hAnsi="Arial" w:cs="Arial"/>
                <w:color w:val="000000"/>
                <w:szCs w:val="24"/>
              </w:rPr>
            </w:pPr>
            <w:r w:rsidRPr="00C96C55">
              <w:rPr>
                <w:rFonts w:ascii="Arial" w:hAnsi="Arial" w:cs="Arial"/>
                <w:color w:val="000000"/>
                <w:szCs w:val="24"/>
              </w:rPr>
              <w:t>2.50%</w:t>
            </w:r>
          </w:p>
        </w:tc>
      </w:tr>
      <w:tr w:rsidR="00C96C55" w:rsidRPr="00C96C55" w:rsidTr="00C96C55">
        <w:trPr>
          <w:trHeight w:val="300"/>
          <w:jc w:val="center"/>
        </w:trPr>
        <w:tc>
          <w:tcPr>
            <w:tcW w:w="2320" w:type="dxa"/>
            <w:tcBorders>
              <w:top w:val="nil"/>
              <w:left w:val="nil"/>
              <w:bottom w:val="nil"/>
              <w:right w:val="nil"/>
            </w:tcBorders>
            <w:shd w:val="clear" w:color="000000" w:fill="FFFFFF"/>
            <w:vAlign w:val="center"/>
            <w:hideMark/>
          </w:tcPr>
          <w:p w:rsidR="00C96C55" w:rsidRPr="00C96C55" w:rsidRDefault="00C96C55" w:rsidP="00C96C55">
            <w:pPr>
              <w:jc w:val="center"/>
              <w:rPr>
                <w:rFonts w:ascii="Arial" w:hAnsi="Arial" w:cs="Arial"/>
                <w:color w:val="000000"/>
                <w:szCs w:val="24"/>
              </w:rPr>
            </w:pPr>
            <w:r w:rsidRPr="00C96C55">
              <w:rPr>
                <w:rFonts w:ascii="Arial" w:hAnsi="Arial" w:cs="Arial"/>
                <w:color w:val="000000"/>
                <w:szCs w:val="24"/>
              </w:rPr>
              <w:t>July 1, 1957</w:t>
            </w:r>
          </w:p>
        </w:tc>
        <w:tc>
          <w:tcPr>
            <w:tcW w:w="2280" w:type="dxa"/>
            <w:tcBorders>
              <w:top w:val="nil"/>
              <w:left w:val="nil"/>
              <w:bottom w:val="nil"/>
              <w:right w:val="nil"/>
            </w:tcBorders>
            <w:shd w:val="clear" w:color="000000" w:fill="FFFFFF"/>
            <w:vAlign w:val="center"/>
            <w:hideMark/>
          </w:tcPr>
          <w:p w:rsidR="00C96C55" w:rsidRPr="00C96C55" w:rsidRDefault="00C96C55" w:rsidP="00C96C55">
            <w:pPr>
              <w:jc w:val="center"/>
              <w:rPr>
                <w:rFonts w:ascii="Arial" w:hAnsi="Arial" w:cs="Arial"/>
                <w:color w:val="000000"/>
                <w:szCs w:val="24"/>
              </w:rPr>
            </w:pPr>
            <w:r w:rsidRPr="00C96C55">
              <w:rPr>
                <w:rFonts w:ascii="Arial" w:hAnsi="Arial" w:cs="Arial"/>
                <w:color w:val="000000"/>
                <w:szCs w:val="24"/>
              </w:rPr>
              <w:t>2.00%</w:t>
            </w:r>
          </w:p>
        </w:tc>
      </w:tr>
      <w:tr w:rsidR="00C96C55" w:rsidRPr="00C96C55" w:rsidTr="00C96C55">
        <w:trPr>
          <w:trHeight w:val="300"/>
          <w:jc w:val="center"/>
        </w:trPr>
        <w:tc>
          <w:tcPr>
            <w:tcW w:w="2320" w:type="dxa"/>
            <w:tcBorders>
              <w:top w:val="nil"/>
              <w:left w:val="nil"/>
              <w:bottom w:val="nil"/>
              <w:right w:val="nil"/>
            </w:tcBorders>
            <w:shd w:val="clear" w:color="000000" w:fill="FFFFFF"/>
            <w:vAlign w:val="center"/>
            <w:hideMark/>
          </w:tcPr>
          <w:p w:rsidR="00C96C55" w:rsidRPr="00C96C55" w:rsidRDefault="00C96C55" w:rsidP="00C96C55">
            <w:pPr>
              <w:jc w:val="center"/>
              <w:rPr>
                <w:rFonts w:ascii="Arial" w:hAnsi="Arial" w:cs="Arial"/>
                <w:color w:val="000000"/>
                <w:szCs w:val="24"/>
              </w:rPr>
            </w:pPr>
            <w:r w:rsidRPr="00C96C55">
              <w:rPr>
                <w:rFonts w:ascii="Arial" w:hAnsi="Arial" w:cs="Arial"/>
                <w:color w:val="000000"/>
                <w:szCs w:val="24"/>
              </w:rPr>
              <w:t>October 1, 1967</w:t>
            </w:r>
          </w:p>
        </w:tc>
        <w:tc>
          <w:tcPr>
            <w:tcW w:w="2280" w:type="dxa"/>
            <w:tcBorders>
              <w:top w:val="nil"/>
              <w:left w:val="nil"/>
              <w:bottom w:val="nil"/>
              <w:right w:val="nil"/>
            </w:tcBorders>
            <w:shd w:val="clear" w:color="000000" w:fill="FFFFFF"/>
            <w:vAlign w:val="center"/>
            <w:hideMark/>
          </w:tcPr>
          <w:p w:rsidR="00C96C55" w:rsidRPr="00C96C55" w:rsidRDefault="00C96C55" w:rsidP="00C96C55">
            <w:pPr>
              <w:jc w:val="center"/>
              <w:rPr>
                <w:rFonts w:ascii="Arial" w:hAnsi="Arial" w:cs="Arial"/>
                <w:color w:val="000000"/>
                <w:szCs w:val="24"/>
              </w:rPr>
            </w:pPr>
            <w:r w:rsidRPr="00C96C55">
              <w:rPr>
                <w:rFonts w:ascii="Arial" w:hAnsi="Arial" w:cs="Arial"/>
                <w:color w:val="000000"/>
                <w:szCs w:val="24"/>
              </w:rPr>
              <w:t>3.00%</w:t>
            </w:r>
          </w:p>
        </w:tc>
      </w:tr>
      <w:tr w:rsidR="00C96C55" w:rsidRPr="00C96C55" w:rsidTr="00C96C55">
        <w:trPr>
          <w:trHeight w:val="300"/>
          <w:jc w:val="center"/>
        </w:trPr>
        <w:tc>
          <w:tcPr>
            <w:tcW w:w="2320" w:type="dxa"/>
            <w:tcBorders>
              <w:top w:val="nil"/>
              <w:left w:val="nil"/>
              <w:bottom w:val="nil"/>
              <w:right w:val="nil"/>
            </w:tcBorders>
            <w:shd w:val="clear" w:color="000000" w:fill="FFFFFF"/>
            <w:vAlign w:val="center"/>
            <w:hideMark/>
          </w:tcPr>
          <w:p w:rsidR="00C96C55" w:rsidRPr="00C96C55" w:rsidRDefault="00C96C55" w:rsidP="00C96C55">
            <w:pPr>
              <w:jc w:val="center"/>
              <w:rPr>
                <w:rFonts w:ascii="Arial" w:hAnsi="Arial" w:cs="Arial"/>
                <w:color w:val="000000"/>
                <w:szCs w:val="24"/>
              </w:rPr>
            </w:pPr>
            <w:r w:rsidRPr="00C96C55">
              <w:rPr>
                <w:rFonts w:ascii="Arial" w:hAnsi="Arial" w:cs="Arial"/>
                <w:color w:val="000000"/>
                <w:szCs w:val="24"/>
              </w:rPr>
              <w:t>March 1, 1983</w:t>
            </w:r>
          </w:p>
        </w:tc>
        <w:tc>
          <w:tcPr>
            <w:tcW w:w="2280" w:type="dxa"/>
            <w:tcBorders>
              <w:top w:val="nil"/>
              <w:left w:val="nil"/>
              <w:bottom w:val="nil"/>
              <w:right w:val="nil"/>
            </w:tcBorders>
            <w:shd w:val="clear" w:color="000000" w:fill="FFFFFF"/>
            <w:vAlign w:val="center"/>
            <w:hideMark/>
          </w:tcPr>
          <w:p w:rsidR="00C96C55" w:rsidRPr="00C96C55" w:rsidRDefault="00C96C55" w:rsidP="00C96C55">
            <w:pPr>
              <w:jc w:val="center"/>
              <w:rPr>
                <w:rFonts w:ascii="Arial" w:hAnsi="Arial" w:cs="Arial"/>
                <w:color w:val="000000"/>
                <w:szCs w:val="24"/>
              </w:rPr>
            </w:pPr>
            <w:r w:rsidRPr="00C96C55">
              <w:rPr>
                <w:rFonts w:ascii="Arial" w:hAnsi="Arial" w:cs="Arial"/>
                <w:color w:val="000000"/>
                <w:szCs w:val="24"/>
              </w:rPr>
              <w:t>4.00%</w:t>
            </w:r>
          </w:p>
        </w:tc>
      </w:tr>
      <w:tr w:rsidR="00C96C55" w:rsidRPr="00C96C55" w:rsidTr="00C96C55">
        <w:trPr>
          <w:trHeight w:val="300"/>
          <w:jc w:val="center"/>
        </w:trPr>
        <w:tc>
          <w:tcPr>
            <w:tcW w:w="2320" w:type="dxa"/>
            <w:tcBorders>
              <w:top w:val="nil"/>
              <w:left w:val="nil"/>
              <w:right w:val="nil"/>
            </w:tcBorders>
            <w:shd w:val="clear" w:color="000000" w:fill="FFFFFF"/>
            <w:vAlign w:val="center"/>
            <w:hideMark/>
          </w:tcPr>
          <w:p w:rsidR="00C96C55" w:rsidRPr="00C96C55" w:rsidRDefault="00C96C55" w:rsidP="00C96C55">
            <w:pPr>
              <w:jc w:val="center"/>
              <w:rPr>
                <w:rFonts w:ascii="Arial" w:hAnsi="Arial" w:cs="Arial"/>
                <w:color w:val="000000"/>
                <w:szCs w:val="24"/>
              </w:rPr>
            </w:pPr>
            <w:r w:rsidRPr="00C96C55">
              <w:rPr>
                <w:rFonts w:ascii="Arial" w:hAnsi="Arial" w:cs="Arial"/>
                <w:color w:val="000000"/>
                <w:szCs w:val="24"/>
              </w:rPr>
              <w:t>July 1, 1992</w:t>
            </w:r>
          </w:p>
        </w:tc>
        <w:tc>
          <w:tcPr>
            <w:tcW w:w="2280" w:type="dxa"/>
            <w:tcBorders>
              <w:top w:val="nil"/>
              <w:left w:val="nil"/>
              <w:right w:val="nil"/>
            </w:tcBorders>
            <w:shd w:val="clear" w:color="000000" w:fill="FFFFFF"/>
            <w:vAlign w:val="center"/>
            <w:hideMark/>
          </w:tcPr>
          <w:p w:rsidR="00C96C55" w:rsidRPr="00C96C55" w:rsidRDefault="00C96C55" w:rsidP="00C96C55">
            <w:pPr>
              <w:jc w:val="center"/>
              <w:rPr>
                <w:rFonts w:ascii="Arial" w:hAnsi="Arial" w:cs="Arial"/>
                <w:color w:val="000000"/>
                <w:szCs w:val="24"/>
              </w:rPr>
            </w:pPr>
            <w:r w:rsidRPr="00C96C55">
              <w:rPr>
                <w:rFonts w:ascii="Arial" w:hAnsi="Arial" w:cs="Arial"/>
                <w:color w:val="000000"/>
                <w:szCs w:val="24"/>
              </w:rPr>
              <w:t>5.00%</w:t>
            </w:r>
          </w:p>
        </w:tc>
      </w:tr>
      <w:tr w:rsidR="00C96C55" w:rsidRPr="00C96C55" w:rsidTr="00C96C55">
        <w:trPr>
          <w:trHeight w:val="300"/>
          <w:jc w:val="center"/>
        </w:trPr>
        <w:tc>
          <w:tcPr>
            <w:tcW w:w="2320" w:type="dxa"/>
            <w:tcBorders>
              <w:top w:val="nil"/>
              <w:left w:val="nil"/>
              <w:bottom w:val="single" w:sz="4" w:space="0" w:color="auto"/>
              <w:right w:val="nil"/>
            </w:tcBorders>
            <w:shd w:val="clear" w:color="000000" w:fill="FFFFFF"/>
            <w:vAlign w:val="center"/>
            <w:hideMark/>
          </w:tcPr>
          <w:p w:rsidR="00C96C55" w:rsidRPr="00C96C55" w:rsidRDefault="00C96C55" w:rsidP="00C96C55">
            <w:pPr>
              <w:jc w:val="center"/>
              <w:rPr>
                <w:rFonts w:ascii="Arial" w:hAnsi="Arial" w:cs="Arial"/>
                <w:color w:val="000000"/>
                <w:szCs w:val="24"/>
              </w:rPr>
            </w:pPr>
            <w:r w:rsidRPr="00C96C55">
              <w:rPr>
                <w:rFonts w:ascii="Arial" w:hAnsi="Arial" w:cs="Arial"/>
                <w:color w:val="000000"/>
                <w:szCs w:val="24"/>
              </w:rPr>
              <w:t>July 1, 2008</w:t>
            </w:r>
          </w:p>
        </w:tc>
        <w:tc>
          <w:tcPr>
            <w:tcW w:w="2280" w:type="dxa"/>
            <w:tcBorders>
              <w:top w:val="nil"/>
              <w:left w:val="nil"/>
              <w:bottom w:val="single" w:sz="4" w:space="0" w:color="auto"/>
              <w:right w:val="nil"/>
            </w:tcBorders>
            <w:shd w:val="clear" w:color="000000" w:fill="FFFFFF"/>
            <w:vAlign w:val="center"/>
            <w:hideMark/>
          </w:tcPr>
          <w:p w:rsidR="00C96C55" w:rsidRPr="00C96C55" w:rsidRDefault="00C96C55" w:rsidP="00C96C55">
            <w:pPr>
              <w:jc w:val="center"/>
              <w:rPr>
                <w:rFonts w:ascii="Arial" w:hAnsi="Arial" w:cs="Arial"/>
                <w:color w:val="000000"/>
                <w:szCs w:val="24"/>
              </w:rPr>
            </w:pPr>
            <w:r w:rsidRPr="00C96C55">
              <w:rPr>
                <w:rFonts w:ascii="Arial" w:hAnsi="Arial" w:cs="Arial"/>
                <w:color w:val="000000"/>
                <w:szCs w:val="24"/>
              </w:rPr>
              <w:t>6.00%</w:t>
            </w:r>
          </w:p>
        </w:tc>
      </w:tr>
    </w:tbl>
    <w:p w:rsidR="00D404CB" w:rsidRPr="001F1486" w:rsidRDefault="00D404CB" w:rsidP="00DB0495">
      <w:pPr>
        <w:spacing w:after="240"/>
        <w:ind w:left="90" w:right="180"/>
        <w:jc w:val="center"/>
        <w:rPr>
          <w:szCs w:val="24"/>
        </w:rPr>
      </w:pPr>
    </w:p>
    <w:p w:rsidR="00A51A82" w:rsidRPr="001F1486" w:rsidRDefault="0070478E" w:rsidP="00DB0495">
      <w:pPr>
        <w:spacing w:after="240"/>
        <w:ind w:right="180"/>
        <w:jc w:val="both"/>
        <w:rPr>
          <w:rFonts w:ascii="Arial" w:hAnsi="Arial" w:cs="Arial"/>
          <w:szCs w:val="24"/>
        </w:rPr>
      </w:pPr>
      <w:r w:rsidRPr="001F1486">
        <w:rPr>
          <w:rFonts w:ascii="Arial" w:hAnsi="Arial" w:cs="Arial"/>
          <w:szCs w:val="24"/>
        </w:rPr>
        <w:t>Iowa taxes more services than m</w:t>
      </w:r>
      <w:r w:rsidR="00007F25" w:rsidRPr="001F1486">
        <w:rPr>
          <w:rFonts w:ascii="Arial" w:hAnsi="Arial" w:cs="Arial"/>
          <w:szCs w:val="24"/>
        </w:rPr>
        <w:t>any</w:t>
      </w:r>
      <w:r w:rsidRPr="001F1486">
        <w:rPr>
          <w:rFonts w:ascii="Arial" w:hAnsi="Arial" w:cs="Arial"/>
          <w:szCs w:val="24"/>
        </w:rPr>
        <w:t xml:space="preserve"> states, but most business services, such as accounting, </w:t>
      </w:r>
      <w:r w:rsidR="00A51A82" w:rsidRPr="001F1486">
        <w:rPr>
          <w:rFonts w:ascii="Arial" w:hAnsi="Arial" w:cs="Arial"/>
          <w:szCs w:val="24"/>
        </w:rPr>
        <w:t xml:space="preserve">engineering, and </w:t>
      </w:r>
      <w:r w:rsidRPr="001F1486">
        <w:rPr>
          <w:rFonts w:ascii="Arial" w:hAnsi="Arial" w:cs="Arial"/>
          <w:szCs w:val="24"/>
        </w:rPr>
        <w:t>legal</w:t>
      </w:r>
      <w:r w:rsidR="00A51A82" w:rsidRPr="001F1486">
        <w:rPr>
          <w:rFonts w:ascii="Arial" w:hAnsi="Arial" w:cs="Arial"/>
          <w:szCs w:val="24"/>
        </w:rPr>
        <w:t xml:space="preserve"> services, remain exempt from Iowa sales and use taxes.</w:t>
      </w:r>
      <w:r w:rsidR="004E54B8">
        <w:rPr>
          <w:rFonts w:ascii="Arial" w:hAnsi="Arial" w:cs="Arial"/>
          <w:szCs w:val="24"/>
        </w:rPr>
        <w:t xml:space="preserve"> </w:t>
      </w:r>
      <w:r w:rsidR="00007F25" w:rsidRPr="001F1486">
        <w:rPr>
          <w:rFonts w:ascii="Arial" w:hAnsi="Arial" w:cs="Arial"/>
          <w:szCs w:val="24"/>
        </w:rPr>
        <w:t>Because</w:t>
      </w:r>
      <w:r w:rsidR="00A51A82" w:rsidRPr="001F1486">
        <w:rPr>
          <w:rFonts w:ascii="Arial" w:hAnsi="Arial" w:cs="Arial"/>
          <w:szCs w:val="24"/>
        </w:rPr>
        <w:t xml:space="preserve"> these services have never been subject to Iowa tax they are not considered in this study.</w:t>
      </w:r>
    </w:p>
    <w:p w:rsidR="00A165BC" w:rsidRPr="001F1486" w:rsidRDefault="00A51A82" w:rsidP="00DB0495">
      <w:pPr>
        <w:spacing w:after="240"/>
        <w:ind w:right="180"/>
        <w:jc w:val="both"/>
        <w:rPr>
          <w:rFonts w:ascii="Arial" w:hAnsi="Arial" w:cs="Arial"/>
          <w:szCs w:val="24"/>
        </w:rPr>
      </w:pPr>
      <w:r w:rsidRPr="001F1486">
        <w:rPr>
          <w:rFonts w:ascii="Arial" w:hAnsi="Arial" w:cs="Arial"/>
          <w:szCs w:val="24"/>
        </w:rPr>
        <w:t>During</w:t>
      </w:r>
      <w:r w:rsidR="00A7584D" w:rsidRPr="001F1486">
        <w:rPr>
          <w:rFonts w:ascii="Arial" w:hAnsi="Arial" w:cs="Arial"/>
          <w:szCs w:val="24"/>
        </w:rPr>
        <w:t xml:space="preserve"> calendar year</w:t>
      </w:r>
      <w:r w:rsidRPr="001F1486">
        <w:rPr>
          <w:rFonts w:ascii="Arial" w:hAnsi="Arial" w:cs="Arial"/>
          <w:szCs w:val="24"/>
        </w:rPr>
        <w:t xml:space="preserve"> 20</w:t>
      </w:r>
      <w:r w:rsidR="00AC2186" w:rsidRPr="001F1486">
        <w:rPr>
          <w:rFonts w:ascii="Arial" w:hAnsi="Arial" w:cs="Arial"/>
          <w:szCs w:val="24"/>
        </w:rPr>
        <w:t>1</w:t>
      </w:r>
      <w:r w:rsidRPr="001F1486">
        <w:rPr>
          <w:rFonts w:ascii="Arial" w:hAnsi="Arial" w:cs="Arial"/>
          <w:szCs w:val="24"/>
        </w:rPr>
        <w:t>0</w:t>
      </w:r>
      <w:r w:rsidR="00C30A35" w:rsidRPr="001F1486">
        <w:rPr>
          <w:rFonts w:ascii="Arial" w:hAnsi="Arial" w:cs="Arial"/>
          <w:szCs w:val="24"/>
        </w:rPr>
        <w:t xml:space="preserve">, </w:t>
      </w:r>
      <w:r w:rsidR="00CE4B86" w:rsidRPr="001F1486">
        <w:rPr>
          <w:rFonts w:ascii="Arial" w:hAnsi="Arial" w:cs="Arial"/>
          <w:szCs w:val="24"/>
        </w:rPr>
        <w:t xml:space="preserve">sales tax, retailers use tax, and consumers use tax liabilities </w:t>
      </w:r>
      <w:r w:rsidR="00C47054" w:rsidRPr="001F1486">
        <w:rPr>
          <w:rFonts w:ascii="Arial" w:hAnsi="Arial" w:cs="Arial"/>
          <w:szCs w:val="24"/>
        </w:rPr>
        <w:t>total</w:t>
      </w:r>
      <w:r w:rsidR="00A7584D" w:rsidRPr="001F1486">
        <w:rPr>
          <w:rFonts w:ascii="Arial" w:hAnsi="Arial" w:cs="Arial"/>
          <w:szCs w:val="24"/>
        </w:rPr>
        <w:t>ed $2</w:t>
      </w:r>
      <w:r w:rsidR="00AC2186" w:rsidRPr="001F1486">
        <w:rPr>
          <w:rFonts w:ascii="Arial" w:hAnsi="Arial" w:cs="Arial"/>
          <w:szCs w:val="24"/>
        </w:rPr>
        <w:t>,</w:t>
      </w:r>
      <w:r w:rsidR="00A7584D" w:rsidRPr="001F1486">
        <w:rPr>
          <w:rFonts w:ascii="Arial" w:hAnsi="Arial" w:cs="Arial"/>
          <w:szCs w:val="24"/>
        </w:rPr>
        <w:t xml:space="preserve">294.1 </w:t>
      </w:r>
      <w:r w:rsidR="00AC2186" w:rsidRPr="001F1486">
        <w:rPr>
          <w:rFonts w:ascii="Arial" w:hAnsi="Arial" w:cs="Arial"/>
          <w:szCs w:val="24"/>
        </w:rPr>
        <w:t>million</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00AC2186" w:rsidRPr="001F1486">
        <w:rPr>
          <w:rFonts w:ascii="Arial" w:hAnsi="Arial" w:cs="Arial"/>
          <w:szCs w:val="24"/>
        </w:rPr>
        <w:t>.</w:t>
      </w:r>
    </w:p>
    <w:p w:rsidR="00C15D1F" w:rsidRPr="00C15D1F" w:rsidRDefault="00A165BC" w:rsidP="00C15D1F">
      <w:pPr>
        <w:spacing w:after="240"/>
        <w:jc w:val="both"/>
        <w:rPr>
          <w:rFonts w:ascii="Arial" w:hAnsi="Arial" w:cs="Arial"/>
          <w:b/>
          <w:szCs w:val="24"/>
        </w:rPr>
      </w:pPr>
      <w:r w:rsidRPr="001F1486">
        <w:br w:type="page"/>
      </w:r>
      <w:r w:rsidR="00C15D1F" w:rsidRPr="00C15D1F">
        <w:rPr>
          <w:rFonts w:ascii="Arial" w:hAnsi="Arial" w:cs="Arial"/>
          <w:b/>
          <w:szCs w:val="24"/>
        </w:rPr>
        <w:lastRenderedPageBreak/>
        <w:t>Tax Credits</w:t>
      </w:r>
    </w:p>
    <w:p w:rsidR="00C15D1F" w:rsidRPr="00BA3721" w:rsidRDefault="00C15D1F" w:rsidP="00C15D1F">
      <w:pPr>
        <w:spacing w:after="240"/>
        <w:jc w:val="both"/>
        <w:rPr>
          <w:rFonts w:ascii="Arial" w:hAnsi="Arial" w:cs="Arial"/>
          <w:szCs w:val="24"/>
        </w:rPr>
      </w:pPr>
      <w:r w:rsidRPr="00BA3721">
        <w:rPr>
          <w:rFonts w:ascii="Arial" w:hAnsi="Arial" w:cs="Arial"/>
          <w:szCs w:val="24"/>
        </w:rPr>
        <w:t>A tax credit is an amount deducted from a taxpayer’s liability to decrease the amount of tax owed to the State. Iowa has two types of tax credits, nonrefundable and refundable. If a nonrefundable tax credit exceeds a taxpayer’s tax liability, the amount of tax allowed is limited to tax liability and the balance of the credit either expires or can be carried forward to the next tax year. Refundable tax credits can be claimed for the full amount regardless of tax liability, any amount that exceeds tax liability will be paid to the taxpayer as a refund. Tax credits may be applied towards individual income, corporate income, insurance premium, fiduciary, franchise, sales &amp; use, replacement, mone</w:t>
      </w:r>
      <w:r>
        <w:rPr>
          <w:rFonts w:ascii="Arial" w:hAnsi="Arial" w:cs="Arial"/>
          <w:szCs w:val="24"/>
        </w:rPr>
        <w:t>y</w:t>
      </w:r>
      <w:r w:rsidRPr="00BA3721">
        <w:rPr>
          <w:rFonts w:ascii="Arial" w:hAnsi="Arial" w:cs="Arial"/>
          <w:szCs w:val="24"/>
        </w:rPr>
        <w:t xml:space="preserve">s &amp; credits, and withholding taxes depending on the tax credit type. </w:t>
      </w:r>
    </w:p>
    <w:p w:rsidR="00C15D1F" w:rsidRPr="00BA3721" w:rsidRDefault="00C15D1F" w:rsidP="00C15D1F">
      <w:pPr>
        <w:spacing w:after="240"/>
        <w:jc w:val="both"/>
        <w:rPr>
          <w:rFonts w:ascii="Arial" w:hAnsi="Arial" w:cs="Arial"/>
          <w:szCs w:val="24"/>
        </w:rPr>
      </w:pPr>
      <w:r w:rsidRPr="00BA3721">
        <w:rPr>
          <w:rFonts w:ascii="Arial" w:hAnsi="Arial" w:cs="Arial"/>
          <w:szCs w:val="24"/>
        </w:rPr>
        <w:t xml:space="preserve">Only the Iowa Legislature can enact or repeal tax credits, although some credits have established sunset dates upon enactment. The very first tax credit was the Motor Vehicle Fuel Tax Credit which was enacted in 1973. Since then there have been many tax credits that have been enacted, although some of those tax credits have subsequently been repealed. In tax year 2006, there were 26 nonrefundable and refundable tax credits that could be claimed on the IA 148. That increased to </w:t>
      </w:r>
      <w:r>
        <w:rPr>
          <w:rFonts w:ascii="Arial" w:hAnsi="Arial" w:cs="Arial"/>
          <w:szCs w:val="24"/>
        </w:rPr>
        <w:t>30</w:t>
      </w:r>
      <w:r w:rsidRPr="00BA3721">
        <w:rPr>
          <w:rFonts w:ascii="Arial" w:hAnsi="Arial" w:cs="Arial"/>
          <w:szCs w:val="24"/>
        </w:rPr>
        <w:t xml:space="preserve"> tax credits in tax year 2010.</w:t>
      </w:r>
      <w:r>
        <w:rPr>
          <w:rFonts w:ascii="Arial" w:hAnsi="Arial" w:cs="Arial"/>
          <w:szCs w:val="24"/>
        </w:rPr>
        <w:t xml:space="preserve"> An additional four credits could be claimed on the quarterly withholding return.</w:t>
      </w:r>
    </w:p>
    <w:p w:rsidR="00C15D1F" w:rsidRPr="00BA3721" w:rsidRDefault="00C15D1F" w:rsidP="00C15D1F">
      <w:pPr>
        <w:spacing w:after="240"/>
        <w:jc w:val="both"/>
        <w:rPr>
          <w:rFonts w:ascii="Arial" w:hAnsi="Arial" w:cs="Arial"/>
          <w:szCs w:val="24"/>
        </w:rPr>
      </w:pPr>
      <w:r w:rsidRPr="00BA3721">
        <w:rPr>
          <w:rFonts w:ascii="Arial" w:hAnsi="Arial" w:cs="Arial"/>
          <w:szCs w:val="24"/>
        </w:rPr>
        <w:t xml:space="preserve">The Tax Credit Tracking and Analysis Program (TCTAP) was established in 2005. Prior to the establishment of the TCTAP, the Department of Revenue (IDR) did not track the specific tax credits claimed on tax returns. Starting in tax year 2006, IDR required the IA148 Tax Credits Schedule to be filed by all taxpayers claiming “other nonrefundable” and/or “other refundable” tax credits on their returns. This allows IDR to verify tax credit claims and to accurately report claim information. Every tax credit claim reported on the IA148 is examined and corrections are made when errors are identified. </w:t>
      </w:r>
    </w:p>
    <w:p w:rsidR="00C15D1F" w:rsidRPr="001F1486" w:rsidRDefault="00C15D1F" w:rsidP="00C15D1F">
      <w:pPr>
        <w:spacing w:after="240"/>
        <w:jc w:val="both"/>
        <w:rPr>
          <w:rFonts w:ascii="Arial" w:hAnsi="Arial" w:cs="Arial"/>
          <w:szCs w:val="24"/>
        </w:rPr>
      </w:pPr>
      <w:r w:rsidRPr="00BA3721">
        <w:rPr>
          <w:rFonts w:ascii="Arial" w:hAnsi="Arial" w:cs="Arial"/>
          <w:szCs w:val="24"/>
        </w:rPr>
        <w:t>The tax credits represented in this portion of the study include all credits that were eligible to be claimed during the 2010 tax year using the IA 148 Tax Credits Schedule or on the quarterly withholding return.</w:t>
      </w:r>
      <w:r>
        <w:rPr>
          <w:rFonts w:ascii="Arial" w:hAnsi="Arial" w:cs="Arial"/>
          <w:szCs w:val="24"/>
        </w:rPr>
        <w:t xml:space="preserve"> </w:t>
      </w:r>
      <w:r w:rsidRPr="00BA3721">
        <w:rPr>
          <w:rFonts w:ascii="Arial" w:hAnsi="Arial" w:cs="Arial"/>
          <w:szCs w:val="24"/>
        </w:rPr>
        <w:t>Individual income tax credits that are claimed on a separate line on the IA 1040 are not included.</w:t>
      </w:r>
    </w:p>
    <w:p w:rsidR="00C15D1F" w:rsidRDefault="00C15D1F">
      <w:pPr>
        <w:rPr>
          <w:rFonts w:ascii="Arial" w:hAnsi="Arial" w:cs="Arial"/>
          <w:b/>
          <w:szCs w:val="24"/>
        </w:rPr>
      </w:pPr>
      <w:r>
        <w:br w:type="page"/>
      </w:r>
    </w:p>
    <w:p w:rsidR="00A165BC" w:rsidRPr="00DB0495" w:rsidRDefault="00A165BC" w:rsidP="0098517B">
      <w:pPr>
        <w:pStyle w:val="Heading2"/>
      </w:pPr>
      <w:r w:rsidRPr="00DB0495">
        <w:lastRenderedPageBreak/>
        <w:t>Property Tax</w:t>
      </w:r>
    </w:p>
    <w:p w:rsidR="00A165BC" w:rsidRPr="001F1486" w:rsidRDefault="00A165BC" w:rsidP="00DB0495">
      <w:pPr>
        <w:spacing w:after="240"/>
        <w:jc w:val="both"/>
        <w:rPr>
          <w:rFonts w:ascii="Arial" w:hAnsi="Arial" w:cs="Arial"/>
          <w:szCs w:val="24"/>
        </w:rPr>
      </w:pPr>
      <w:r w:rsidRPr="001F1486">
        <w:rPr>
          <w:rFonts w:ascii="Arial" w:hAnsi="Arial" w:cs="Arial"/>
          <w:szCs w:val="24"/>
        </w:rPr>
        <w:t>In Iowa, the property tax is used only by local government entities that are permitted by state statute to impose the tax.</w:t>
      </w:r>
      <w:r w:rsidR="004E54B8">
        <w:rPr>
          <w:rFonts w:ascii="Arial" w:hAnsi="Arial" w:cs="Arial"/>
          <w:szCs w:val="24"/>
        </w:rPr>
        <w:t xml:space="preserve"> </w:t>
      </w:r>
      <w:r w:rsidRPr="001F1486">
        <w:rPr>
          <w:rFonts w:ascii="Arial" w:hAnsi="Arial" w:cs="Arial"/>
          <w:szCs w:val="24"/>
        </w:rPr>
        <w:t>The property tax is levied on the taxable value of real property.</w:t>
      </w:r>
      <w:r w:rsidR="004E54B8">
        <w:rPr>
          <w:rFonts w:ascii="Arial" w:hAnsi="Arial" w:cs="Arial"/>
          <w:szCs w:val="24"/>
        </w:rPr>
        <w:t xml:space="preserve"> </w:t>
      </w:r>
      <w:r w:rsidRPr="001F1486">
        <w:rPr>
          <w:rFonts w:ascii="Arial" w:hAnsi="Arial" w:cs="Arial"/>
          <w:szCs w:val="24"/>
        </w:rPr>
        <w:t>The consolidated tax rate differs in each locality and is a composite of county, city, school district, and special levies.</w:t>
      </w:r>
    </w:p>
    <w:p w:rsidR="00A165BC" w:rsidRPr="001F1486" w:rsidRDefault="00A165BC" w:rsidP="0098517B">
      <w:pPr>
        <w:pStyle w:val="Heading3"/>
      </w:pPr>
      <w:r w:rsidRPr="001F1486">
        <w:t>Tax Base and Rates</w:t>
      </w:r>
    </w:p>
    <w:p w:rsidR="00A165BC" w:rsidRPr="001F1486" w:rsidRDefault="00A165BC" w:rsidP="00DB0495">
      <w:pPr>
        <w:spacing w:after="240"/>
        <w:jc w:val="both"/>
        <w:rPr>
          <w:rFonts w:ascii="Arial" w:hAnsi="Arial" w:cs="Arial"/>
          <w:szCs w:val="24"/>
        </w:rPr>
      </w:pPr>
      <w:r w:rsidRPr="001F1486">
        <w:rPr>
          <w:rFonts w:ascii="Arial" w:hAnsi="Arial" w:cs="Arial"/>
          <w:szCs w:val="24"/>
        </w:rPr>
        <w:t>The tax levy rates are expressed in dollars and cents per $1,000 of assessed valuation. The property tax due and payable in a fiscal year is determined by multiplying the consolidated levy rate by the assessed value of the property.</w:t>
      </w:r>
      <w:r w:rsidR="004E54B8">
        <w:rPr>
          <w:rFonts w:ascii="Arial" w:hAnsi="Arial" w:cs="Arial"/>
          <w:szCs w:val="24"/>
        </w:rPr>
        <w:t xml:space="preserve"> </w:t>
      </w:r>
      <w:r w:rsidRPr="001F1486">
        <w:rPr>
          <w:rFonts w:ascii="Arial" w:hAnsi="Arial" w:cs="Arial"/>
          <w:szCs w:val="24"/>
        </w:rPr>
        <w:t>The assessed value of the property is that determined as of January 1 of the year preceding the year in which the fiscal year begins, i.e., 18 months prior, adjusted by the applicable rollback.</w:t>
      </w:r>
      <w:r w:rsidR="004E54B8">
        <w:rPr>
          <w:rFonts w:ascii="Arial" w:hAnsi="Arial" w:cs="Arial"/>
          <w:szCs w:val="24"/>
        </w:rPr>
        <w:t xml:space="preserve"> </w:t>
      </w:r>
      <w:r w:rsidRPr="001F1486">
        <w:rPr>
          <w:rFonts w:ascii="Arial" w:hAnsi="Arial" w:cs="Arial"/>
          <w:szCs w:val="24"/>
        </w:rPr>
        <w:t>The consolidated levy rate is the total levy rates of all jurisdictions in which the property is located.</w:t>
      </w:r>
      <w:r w:rsidR="004E54B8">
        <w:rPr>
          <w:rFonts w:ascii="Arial" w:hAnsi="Arial" w:cs="Arial"/>
          <w:szCs w:val="24"/>
        </w:rPr>
        <w:t xml:space="preserve"> </w:t>
      </w:r>
    </w:p>
    <w:p w:rsidR="00A165BC" w:rsidRPr="001F1486" w:rsidRDefault="00A165BC" w:rsidP="0098517B">
      <w:pPr>
        <w:pStyle w:val="Heading3"/>
      </w:pPr>
      <w:r w:rsidRPr="001F1486">
        <w:t>Assessment</w:t>
      </w:r>
    </w:p>
    <w:p w:rsidR="00926EEA" w:rsidRPr="001F1486" w:rsidRDefault="00DB0495" w:rsidP="00DB0495">
      <w:pPr>
        <w:spacing w:after="240"/>
        <w:jc w:val="both"/>
        <w:rPr>
          <w:rFonts w:ascii="Arial" w:hAnsi="Arial" w:cs="Arial"/>
          <w:szCs w:val="24"/>
        </w:rPr>
      </w:pPr>
      <w:r>
        <w:rPr>
          <w:rFonts w:ascii="Arial" w:hAnsi="Arial" w:cs="Arial"/>
          <w:szCs w:val="24"/>
        </w:rPr>
        <w:t>R</w:t>
      </w:r>
      <w:r w:rsidR="00926EEA" w:rsidRPr="001F1486">
        <w:rPr>
          <w:rFonts w:ascii="Arial" w:hAnsi="Arial" w:cs="Arial"/>
          <w:szCs w:val="24"/>
        </w:rPr>
        <w:t>eal property is placed in one of four classes:</w:t>
      </w:r>
      <w:r w:rsidR="004E54B8">
        <w:rPr>
          <w:rFonts w:ascii="Arial" w:hAnsi="Arial" w:cs="Arial"/>
          <w:szCs w:val="24"/>
        </w:rPr>
        <w:t xml:space="preserve"> </w:t>
      </w:r>
      <w:r w:rsidR="00926EEA" w:rsidRPr="001F1486">
        <w:rPr>
          <w:rFonts w:ascii="Arial" w:hAnsi="Arial" w:cs="Arial"/>
          <w:szCs w:val="24"/>
        </w:rPr>
        <w:t>agricultural, residential, commercial, or industrial.</w:t>
      </w:r>
      <w:r w:rsidR="004E54B8">
        <w:rPr>
          <w:rFonts w:ascii="Arial" w:hAnsi="Arial" w:cs="Arial"/>
          <w:szCs w:val="24"/>
        </w:rPr>
        <w:t xml:space="preserve"> </w:t>
      </w:r>
      <w:r w:rsidR="00926EEA" w:rsidRPr="001F1486">
        <w:rPr>
          <w:rFonts w:ascii="Arial" w:hAnsi="Arial" w:cs="Arial"/>
          <w:szCs w:val="24"/>
        </w:rPr>
        <w:t>Commercial property includes buildings containing three or more separate residences, except condominiums, multiple housing cooperatives, and certain non-profit housing.</w:t>
      </w:r>
      <w:r w:rsidR="004E54B8">
        <w:rPr>
          <w:rFonts w:ascii="Arial" w:hAnsi="Arial" w:cs="Arial"/>
          <w:szCs w:val="24"/>
        </w:rPr>
        <w:t xml:space="preserve"> </w:t>
      </w:r>
    </w:p>
    <w:p w:rsidR="00A165BC" w:rsidRPr="001F1486" w:rsidRDefault="00A165BC" w:rsidP="00DB0495">
      <w:pPr>
        <w:spacing w:after="240"/>
        <w:jc w:val="both"/>
        <w:rPr>
          <w:rFonts w:ascii="Arial" w:hAnsi="Arial" w:cs="Arial"/>
          <w:szCs w:val="24"/>
        </w:rPr>
      </w:pPr>
      <w:r w:rsidRPr="001F1486">
        <w:rPr>
          <w:rFonts w:ascii="Arial" w:hAnsi="Arial" w:cs="Arial"/>
          <w:szCs w:val="24"/>
        </w:rPr>
        <w:t>Most real property is assessed locally by either the county or city assessor.</w:t>
      </w:r>
      <w:r w:rsidR="004E54B8">
        <w:rPr>
          <w:rFonts w:ascii="Arial" w:hAnsi="Arial" w:cs="Arial"/>
          <w:szCs w:val="24"/>
        </w:rPr>
        <w:t xml:space="preserve"> </w:t>
      </w:r>
      <w:r w:rsidRPr="001F1486">
        <w:rPr>
          <w:rFonts w:ascii="Arial" w:hAnsi="Arial" w:cs="Arial"/>
          <w:szCs w:val="24"/>
        </w:rPr>
        <w:t>The assessment year starts on January 1 of each calendar year.</w:t>
      </w:r>
      <w:r w:rsidR="004E54B8">
        <w:rPr>
          <w:rFonts w:ascii="Arial" w:hAnsi="Arial" w:cs="Arial"/>
          <w:szCs w:val="24"/>
        </w:rPr>
        <w:t xml:space="preserve"> </w:t>
      </w:r>
      <w:r w:rsidRPr="001F1486">
        <w:rPr>
          <w:rFonts w:ascii="Arial" w:hAnsi="Arial" w:cs="Arial"/>
          <w:szCs w:val="24"/>
        </w:rPr>
        <w:t xml:space="preserve">Every two years in the odd-numbered year, local assessors are required to </w:t>
      </w:r>
      <w:r w:rsidR="00926EEA" w:rsidRPr="001F1486">
        <w:rPr>
          <w:rFonts w:ascii="Arial" w:hAnsi="Arial" w:cs="Arial"/>
          <w:szCs w:val="24"/>
        </w:rPr>
        <w:t>revalue</w:t>
      </w:r>
      <w:r w:rsidRPr="001F1486">
        <w:rPr>
          <w:rFonts w:ascii="Arial" w:hAnsi="Arial" w:cs="Arial"/>
          <w:szCs w:val="24"/>
        </w:rPr>
        <w:t xml:space="preserve"> all real property in their jurisdictions.</w:t>
      </w:r>
      <w:r w:rsidR="004E54B8">
        <w:rPr>
          <w:rFonts w:ascii="Arial" w:hAnsi="Arial" w:cs="Arial"/>
          <w:szCs w:val="24"/>
        </w:rPr>
        <w:t xml:space="preserve"> </w:t>
      </w:r>
      <w:r w:rsidRPr="001F1486">
        <w:rPr>
          <w:rFonts w:ascii="Arial" w:hAnsi="Arial" w:cs="Arial"/>
          <w:szCs w:val="24"/>
        </w:rPr>
        <w:t>Also every two years in the odd-numbered years, the Department of Revenue issues equalization orders.</w:t>
      </w:r>
      <w:r w:rsidR="004E54B8">
        <w:rPr>
          <w:rFonts w:ascii="Arial" w:hAnsi="Arial" w:cs="Arial"/>
          <w:szCs w:val="24"/>
        </w:rPr>
        <w:t xml:space="preserve"> </w:t>
      </w:r>
      <w:r w:rsidRPr="001F1486">
        <w:rPr>
          <w:rFonts w:ascii="Arial" w:hAnsi="Arial" w:cs="Arial"/>
          <w:szCs w:val="24"/>
        </w:rPr>
        <w:t>In this process, the Department of Revenue reviews the level of assessment of property within each class</w:t>
      </w:r>
      <w:r w:rsidR="00926EEA" w:rsidRPr="001F1486">
        <w:rPr>
          <w:rFonts w:ascii="Arial" w:hAnsi="Arial" w:cs="Arial"/>
          <w:szCs w:val="24"/>
        </w:rPr>
        <w:t xml:space="preserve"> of property, excluding industrial</w:t>
      </w:r>
      <w:r w:rsidRPr="001F1486">
        <w:rPr>
          <w:rFonts w:ascii="Arial" w:hAnsi="Arial" w:cs="Arial"/>
          <w:szCs w:val="24"/>
        </w:rPr>
        <w:t>.</w:t>
      </w:r>
      <w:r w:rsidR="004E54B8">
        <w:rPr>
          <w:rFonts w:ascii="Arial" w:hAnsi="Arial" w:cs="Arial"/>
          <w:szCs w:val="24"/>
        </w:rPr>
        <w:t xml:space="preserve"> </w:t>
      </w:r>
      <w:r w:rsidRPr="001F1486">
        <w:rPr>
          <w:rFonts w:ascii="Arial" w:hAnsi="Arial" w:cs="Arial"/>
          <w:szCs w:val="24"/>
        </w:rPr>
        <w:t xml:space="preserve">If the aggregate assessed valuation of that class of property is at least five percent above or below the </w:t>
      </w:r>
      <w:r w:rsidR="00926EEA" w:rsidRPr="001F1486">
        <w:rPr>
          <w:rFonts w:ascii="Arial" w:hAnsi="Arial" w:cs="Arial"/>
          <w:szCs w:val="24"/>
        </w:rPr>
        <w:t xml:space="preserve">actual </w:t>
      </w:r>
      <w:r w:rsidRPr="001F1486">
        <w:rPr>
          <w:rFonts w:ascii="Arial" w:hAnsi="Arial" w:cs="Arial"/>
          <w:szCs w:val="24"/>
        </w:rPr>
        <w:t>valuation of that class of property</w:t>
      </w:r>
      <w:r w:rsidR="00926EEA" w:rsidRPr="001F1486">
        <w:rPr>
          <w:rFonts w:ascii="Arial" w:hAnsi="Arial" w:cs="Arial"/>
          <w:szCs w:val="24"/>
        </w:rPr>
        <w:t xml:space="preserve"> as determined by the Director as set out in the abstract of assessment</w:t>
      </w:r>
      <w:r w:rsidRPr="001F1486">
        <w:rPr>
          <w:rFonts w:ascii="Arial" w:hAnsi="Arial" w:cs="Arial"/>
          <w:szCs w:val="24"/>
        </w:rPr>
        <w:t>, the Department of Revenue orders the equalization of the levels of assessment of that class of property.</w:t>
      </w:r>
      <w:r w:rsidR="004E54B8">
        <w:rPr>
          <w:rFonts w:ascii="Arial" w:hAnsi="Arial" w:cs="Arial"/>
          <w:szCs w:val="24"/>
        </w:rPr>
        <w:t xml:space="preserve"> </w:t>
      </w:r>
    </w:p>
    <w:p w:rsidR="00A165BC" w:rsidRPr="001F1486" w:rsidRDefault="00A165BC" w:rsidP="00DB0495">
      <w:pPr>
        <w:spacing w:after="240"/>
        <w:jc w:val="both"/>
        <w:rPr>
          <w:rFonts w:ascii="Arial" w:hAnsi="Arial" w:cs="Arial"/>
          <w:szCs w:val="24"/>
        </w:rPr>
      </w:pPr>
      <w:r w:rsidRPr="001F1486">
        <w:rPr>
          <w:rFonts w:ascii="Arial" w:hAnsi="Arial" w:cs="Arial"/>
          <w:szCs w:val="24"/>
        </w:rPr>
        <w:t>Tax base assessment for taxable real property is one hundred percent of market value.</w:t>
      </w:r>
      <w:r w:rsidR="004E54B8">
        <w:rPr>
          <w:rFonts w:ascii="Arial" w:hAnsi="Arial" w:cs="Arial"/>
          <w:szCs w:val="24"/>
        </w:rPr>
        <w:t xml:space="preserve"> </w:t>
      </w:r>
      <w:r w:rsidR="00385138" w:rsidRPr="001F1486">
        <w:rPr>
          <w:rFonts w:ascii="Arial" w:hAnsi="Arial" w:cs="Arial"/>
          <w:szCs w:val="24"/>
        </w:rPr>
        <w:t>The foundation for agricultural property is a productivity value rather than market value.</w:t>
      </w:r>
    </w:p>
    <w:p w:rsidR="00A165BC" w:rsidRPr="001F1486" w:rsidRDefault="00A165BC" w:rsidP="0098517B">
      <w:pPr>
        <w:pStyle w:val="Heading3"/>
      </w:pPr>
      <w:r w:rsidRPr="001F1486">
        <w:t>Central Assessment</w:t>
      </w:r>
    </w:p>
    <w:p w:rsidR="00A165BC" w:rsidRPr="001F1486" w:rsidRDefault="00A165BC" w:rsidP="00DB0495">
      <w:pPr>
        <w:spacing w:after="240"/>
        <w:jc w:val="both"/>
        <w:rPr>
          <w:rFonts w:ascii="Arial" w:hAnsi="Arial" w:cs="Arial"/>
          <w:szCs w:val="24"/>
        </w:rPr>
      </w:pPr>
      <w:r w:rsidRPr="001F1486">
        <w:rPr>
          <w:rFonts w:ascii="Arial" w:hAnsi="Arial" w:cs="Arial"/>
          <w:szCs w:val="24"/>
        </w:rPr>
        <w:t>All lands, buildings, machinery, and equipment belonging to electric companies (including rural cooperatives), gas companies (including pipelines), railway companies, telephone/telegraph companies, and express delivery companies are assessed by the Department of Revenu</w:t>
      </w:r>
      <w:r w:rsidR="00AD6240" w:rsidRPr="001F1486">
        <w:rPr>
          <w:rFonts w:ascii="Arial" w:hAnsi="Arial" w:cs="Arial"/>
          <w:szCs w:val="24"/>
        </w:rPr>
        <w:t xml:space="preserve">e </w:t>
      </w:r>
      <w:r w:rsidRPr="001F1486">
        <w:rPr>
          <w:rFonts w:ascii="Arial" w:hAnsi="Arial" w:cs="Arial"/>
          <w:szCs w:val="24"/>
        </w:rPr>
        <w:t>and subject to property taxation by local governments.</w:t>
      </w:r>
      <w:r w:rsidR="004E54B8">
        <w:rPr>
          <w:rFonts w:ascii="Arial" w:hAnsi="Arial" w:cs="Arial"/>
          <w:szCs w:val="24"/>
        </w:rPr>
        <w:t xml:space="preserve"> </w:t>
      </w:r>
    </w:p>
    <w:p w:rsidR="00A165BC" w:rsidRPr="001F1486" w:rsidRDefault="00A165BC" w:rsidP="00DB0495">
      <w:pPr>
        <w:spacing w:after="240"/>
        <w:jc w:val="both"/>
        <w:rPr>
          <w:rFonts w:ascii="Arial" w:hAnsi="Arial" w:cs="Arial"/>
          <w:szCs w:val="24"/>
        </w:rPr>
      </w:pPr>
      <w:r w:rsidRPr="001F1486">
        <w:rPr>
          <w:rFonts w:ascii="Arial" w:hAnsi="Arial" w:cs="Arial"/>
          <w:szCs w:val="24"/>
        </w:rPr>
        <w:t>For assessment years beginning January 1, 1999 and after, central assessment of entities involved in the production, delivery, and transmission of electricity and natural gas was replaced with an excise tax on their production, delivery, and transmission. The excise tax rates vary annually by service area.</w:t>
      </w:r>
      <w:r w:rsidR="004E54B8">
        <w:rPr>
          <w:rFonts w:ascii="Arial" w:hAnsi="Arial" w:cs="Arial"/>
          <w:szCs w:val="24"/>
        </w:rPr>
        <w:t xml:space="preserve"> </w:t>
      </w:r>
      <w:r w:rsidRPr="001F1486">
        <w:rPr>
          <w:rFonts w:ascii="Arial" w:hAnsi="Arial" w:cs="Arial"/>
          <w:szCs w:val="24"/>
        </w:rPr>
        <w:t xml:space="preserve">An annual statewide property tax is also </w:t>
      </w:r>
      <w:r w:rsidRPr="001F1486">
        <w:rPr>
          <w:rFonts w:ascii="Arial" w:hAnsi="Arial" w:cs="Arial"/>
          <w:szCs w:val="24"/>
        </w:rPr>
        <w:lastRenderedPageBreak/>
        <w:t>imposed, at a rate of three cents per $1,000 of assessed value, on all property subject to the excise tax.</w:t>
      </w:r>
    </w:p>
    <w:p w:rsidR="00A165BC" w:rsidRPr="001F1486" w:rsidRDefault="00A165BC" w:rsidP="0098517B">
      <w:pPr>
        <w:pStyle w:val="Heading3"/>
      </w:pPr>
      <w:r w:rsidRPr="001F1486">
        <w:t>Equalization</w:t>
      </w:r>
    </w:p>
    <w:p w:rsidR="00A165BC" w:rsidRPr="001F1486" w:rsidRDefault="00A165BC" w:rsidP="00DB0495">
      <w:pPr>
        <w:spacing w:after="240"/>
        <w:jc w:val="both"/>
        <w:rPr>
          <w:rFonts w:ascii="Arial" w:hAnsi="Arial" w:cs="Arial"/>
          <w:szCs w:val="24"/>
        </w:rPr>
      </w:pPr>
      <w:r w:rsidRPr="001F1486">
        <w:rPr>
          <w:rFonts w:ascii="Arial" w:hAnsi="Arial" w:cs="Arial"/>
          <w:szCs w:val="24"/>
        </w:rPr>
        <w:t>In order to prevent wide variations between assessments statewide of real property in any one class, the equalization process takes place in each odd-numbered year.</w:t>
      </w:r>
      <w:r w:rsidR="004E54B8">
        <w:rPr>
          <w:rFonts w:ascii="Arial" w:hAnsi="Arial" w:cs="Arial"/>
          <w:szCs w:val="24"/>
        </w:rPr>
        <w:t xml:space="preserve"> </w:t>
      </w:r>
      <w:r w:rsidRPr="001F1486">
        <w:rPr>
          <w:rFonts w:ascii="Arial" w:hAnsi="Arial" w:cs="Arial"/>
          <w:szCs w:val="24"/>
        </w:rPr>
        <w:t>As the first step of the process, which is carried out in its entirety by the Department of Revenue, the Department conducts a statewide review of the level of assessment of property within each class</w:t>
      </w:r>
      <w:r w:rsidR="001C611B" w:rsidRPr="001F1486">
        <w:rPr>
          <w:rFonts w:ascii="Arial" w:hAnsi="Arial" w:cs="Arial"/>
          <w:szCs w:val="24"/>
        </w:rPr>
        <w:t xml:space="preserve"> for every jurisdiction</w:t>
      </w:r>
      <w:r w:rsidRPr="001F1486">
        <w:rPr>
          <w:rFonts w:ascii="Arial" w:hAnsi="Arial" w:cs="Arial"/>
          <w:szCs w:val="24"/>
        </w:rPr>
        <w:t>.</w:t>
      </w:r>
      <w:r w:rsidR="004E54B8">
        <w:rPr>
          <w:rFonts w:ascii="Arial" w:hAnsi="Arial" w:cs="Arial"/>
          <w:szCs w:val="24"/>
        </w:rPr>
        <w:t xml:space="preserve"> </w:t>
      </w:r>
      <w:r w:rsidRPr="001F1486">
        <w:rPr>
          <w:rFonts w:ascii="Arial" w:hAnsi="Arial" w:cs="Arial"/>
          <w:szCs w:val="24"/>
        </w:rPr>
        <w:t xml:space="preserve">If the aggregate assessed valuation of a class of property within a jurisdiction is at least five percent above or below the </w:t>
      </w:r>
      <w:r w:rsidR="001C611B" w:rsidRPr="001F1486">
        <w:rPr>
          <w:rFonts w:ascii="Arial" w:hAnsi="Arial" w:cs="Arial"/>
          <w:szCs w:val="24"/>
        </w:rPr>
        <w:t xml:space="preserve">market </w:t>
      </w:r>
      <w:r w:rsidRPr="001F1486">
        <w:rPr>
          <w:rFonts w:ascii="Arial" w:hAnsi="Arial" w:cs="Arial"/>
          <w:szCs w:val="24"/>
        </w:rPr>
        <w:t>valu</w:t>
      </w:r>
      <w:r w:rsidR="001C611B" w:rsidRPr="001F1486">
        <w:rPr>
          <w:rFonts w:ascii="Arial" w:hAnsi="Arial" w:cs="Arial"/>
          <w:szCs w:val="24"/>
        </w:rPr>
        <w:t>e</w:t>
      </w:r>
      <w:r w:rsidRPr="001F1486">
        <w:rPr>
          <w:rFonts w:ascii="Arial" w:hAnsi="Arial" w:cs="Arial"/>
          <w:szCs w:val="24"/>
        </w:rPr>
        <w:t xml:space="preserve"> of that class of property</w:t>
      </w:r>
      <w:r w:rsidR="00B67171" w:rsidRPr="001F1486">
        <w:rPr>
          <w:rFonts w:ascii="Arial" w:hAnsi="Arial" w:cs="Arial"/>
          <w:szCs w:val="24"/>
        </w:rPr>
        <w:t xml:space="preserve"> as established through statistical analysis and abstract of assessment submissions, equalization of that class of property </w:t>
      </w:r>
      <w:r w:rsidRPr="001F1486">
        <w:rPr>
          <w:rFonts w:ascii="Arial" w:hAnsi="Arial" w:cs="Arial"/>
          <w:szCs w:val="24"/>
        </w:rPr>
        <w:t>is required.</w:t>
      </w:r>
      <w:r w:rsidR="004E54B8">
        <w:rPr>
          <w:rFonts w:ascii="Arial" w:hAnsi="Arial" w:cs="Arial"/>
          <w:szCs w:val="24"/>
        </w:rPr>
        <w:t xml:space="preserve"> </w:t>
      </w:r>
      <w:r w:rsidRPr="001F1486">
        <w:rPr>
          <w:rFonts w:ascii="Arial" w:hAnsi="Arial" w:cs="Arial"/>
          <w:szCs w:val="24"/>
        </w:rPr>
        <w:t>Equalization is accomplished by increasing or decreasing the aggregate valuations of certain classes of property within jurisdictions by a percentage necessary to adjust the level of assessment to actual value.</w:t>
      </w:r>
      <w:r w:rsidR="004E54B8">
        <w:rPr>
          <w:rFonts w:ascii="Arial" w:hAnsi="Arial" w:cs="Arial"/>
          <w:szCs w:val="24"/>
        </w:rPr>
        <w:t xml:space="preserve"> </w:t>
      </w:r>
      <w:r w:rsidRPr="001F1486">
        <w:rPr>
          <w:rFonts w:ascii="Arial" w:hAnsi="Arial" w:cs="Arial"/>
          <w:szCs w:val="24"/>
        </w:rPr>
        <w:t>Equalization orders are restricted to equalizing the aggregate valuations of entire classes of property and may not adjust the valuations of individual properties.</w:t>
      </w:r>
      <w:r w:rsidR="004E54B8">
        <w:rPr>
          <w:rFonts w:ascii="Arial" w:hAnsi="Arial" w:cs="Arial"/>
          <w:szCs w:val="24"/>
        </w:rPr>
        <w:t xml:space="preserve"> </w:t>
      </w:r>
      <w:r w:rsidRPr="001F1486">
        <w:rPr>
          <w:rFonts w:ascii="Arial" w:hAnsi="Arial" w:cs="Arial"/>
          <w:szCs w:val="24"/>
        </w:rPr>
        <w:t>Equalization is not considered a tax expenditure but rather an establishment of a tax base.</w:t>
      </w:r>
    </w:p>
    <w:p w:rsidR="00A165BC" w:rsidRPr="001F1486" w:rsidRDefault="00A165BC" w:rsidP="0098517B">
      <w:pPr>
        <w:pStyle w:val="Heading3"/>
      </w:pPr>
      <w:r w:rsidRPr="001F1486">
        <w:t>Rollback</w:t>
      </w:r>
    </w:p>
    <w:p w:rsidR="00596ED6" w:rsidRDefault="00A165BC" w:rsidP="00DB0495">
      <w:pPr>
        <w:spacing w:after="240"/>
        <w:jc w:val="both"/>
        <w:rPr>
          <w:rFonts w:ascii="Arial" w:hAnsi="Arial" w:cs="Arial"/>
          <w:szCs w:val="24"/>
        </w:rPr>
      </w:pPr>
      <w:r w:rsidRPr="001F1486">
        <w:rPr>
          <w:rFonts w:ascii="Arial" w:hAnsi="Arial" w:cs="Arial"/>
          <w:szCs w:val="24"/>
        </w:rPr>
        <w:t>The taxable value of property may be a percentage of the assessed value as a result of statewide limitations on annual growth in assessed value.</w:t>
      </w:r>
      <w:r w:rsidR="004E54B8">
        <w:rPr>
          <w:rFonts w:ascii="Arial" w:hAnsi="Arial" w:cs="Arial"/>
          <w:szCs w:val="24"/>
        </w:rPr>
        <w:t xml:space="preserve"> </w:t>
      </w:r>
      <w:r w:rsidRPr="001F1486">
        <w:rPr>
          <w:rFonts w:ascii="Arial" w:hAnsi="Arial" w:cs="Arial"/>
          <w:szCs w:val="24"/>
        </w:rPr>
        <w:t>The statewide limitation on growth is four percent annually (eight percent annually for utilities).</w:t>
      </w:r>
      <w:r w:rsidR="004E54B8">
        <w:rPr>
          <w:rFonts w:ascii="Arial" w:hAnsi="Arial" w:cs="Arial"/>
          <w:szCs w:val="24"/>
        </w:rPr>
        <w:t xml:space="preserve"> </w:t>
      </w:r>
      <w:r w:rsidRPr="001F1486">
        <w:rPr>
          <w:rFonts w:ascii="Arial" w:hAnsi="Arial" w:cs="Arial"/>
          <w:szCs w:val="24"/>
        </w:rPr>
        <w:t>Increases in the assessment of residential and agricultural property are tied to each other.</w:t>
      </w:r>
      <w:r w:rsidR="004E54B8">
        <w:rPr>
          <w:rFonts w:ascii="Arial" w:hAnsi="Arial" w:cs="Arial"/>
          <w:szCs w:val="24"/>
        </w:rPr>
        <w:t xml:space="preserve"> </w:t>
      </w:r>
      <w:r w:rsidRPr="001F1486">
        <w:rPr>
          <w:rFonts w:ascii="Arial" w:hAnsi="Arial" w:cs="Arial"/>
          <w:szCs w:val="24"/>
        </w:rPr>
        <w:t>The annual increase in each class of property is limited to the smaller of the two increases in either class of property.</w:t>
      </w:r>
      <w:r w:rsidR="004E54B8">
        <w:rPr>
          <w:rFonts w:ascii="Arial" w:hAnsi="Arial" w:cs="Arial"/>
          <w:szCs w:val="24"/>
        </w:rPr>
        <w:t xml:space="preserve"> </w:t>
      </w:r>
      <w:r w:rsidRPr="001F1486">
        <w:rPr>
          <w:rFonts w:ascii="Arial" w:hAnsi="Arial" w:cs="Arial"/>
          <w:szCs w:val="24"/>
        </w:rPr>
        <w:t>In November of each year, the Director of Revenue certifies the limitation percentages to county auditors.</w:t>
      </w:r>
      <w:r w:rsidR="004E54B8">
        <w:rPr>
          <w:rFonts w:ascii="Arial" w:hAnsi="Arial" w:cs="Arial"/>
          <w:szCs w:val="24"/>
        </w:rPr>
        <w:t xml:space="preserve"> </w:t>
      </w:r>
      <w:r w:rsidRPr="001F1486">
        <w:rPr>
          <w:rFonts w:ascii="Arial" w:hAnsi="Arial" w:cs="Arial"/>
          <w:szCs w:val="24"/>
        </w:rPr>
        <w:t>The rollback percentage is multiplied by the assessed value to obtain the taxable value of the property</w:t>
      </w:r>
      <w:r w:rsidR="00B67171" w:rsidRPr="001F1486">
        <w:rPr>
          <w:rFonts w:ascii="Arial" w:hAnsi="Arial" w:cs="Arial"/>
          <w:szCs w:val="24"/>
        </w:rPr>
        <w:t xml:space="preserve"> less any exemptions or partial exemptions</w:t>
      </w:r>
      <w:r w:rsidRPr="001F1486">
        <w:rPr>
          <w:rFonts w:ascii="Arial" w:hAnsi="Arial" w:cs="Arial"/>
          <w:szCs w:val="24"/>
        </w:rPr>
        <w:t>.</w:t>
      </w:r>
      <w:r w:rsidR="004E54B8">
        <w:rPr>
          <w:rFonts w:ascii="Arial" w:hAnsi="Arial" w:cs="Arial"/>
          <w:szCs w:val="24"/>
        </w:rPr>
        <w:t xml:space="preserve"> </w:t>
      </w:r>
      <w:r w:rsidRPr="001F1486">
        <w:rPr>
          <w:rFonts w:ascii="Arial" w:hAnsi="Arial" w:cs="Arial"/>
          <w:szCs w:val="24"/>
        </w:rPr>
        <w:t>Property tax rollback provisions are considered a tax expenditure</w:t>
      </w:r>
      <w:r w:rsidR="00AD6240" w:rsidRPr="001F1486">
        <w:rPr>
          <w:rFonts w:ascii="Arial" w:hAnsi="Arial" w:cs="Arial"/>
          <w:szCs w:val="24"/>
        </w:rPr>
        <w:t>, but were only applied to agricultural and residential properties in the 2008 assessment year</w:t>
      </w:r>
      <w:r w:rsidRPr="001F1486">
        <w:rPr>
          <w:rFonts w:ascii="Arial" w:hAnsi="Arial" w:cs="Arial"/>
          <w:szCs w:val="24"/>
        </w:rPr>
        <w:t>.</w:t>
      </w:r>
    </w:p>
    <w:p w:rsidR="00BA3721" w:rsidRPr="001F1486" w:rsidRDefault="00BA3721" w:rsidP="00C15D1F">
      <w:pPr>
        <w:spacing w:after="240"/>
        <w:jc w:val="both"/>
        <w:rPr>
          <w:rFonts w:ascii="Arial" w:hAnsi="Arial" w:cs="Arial"/>
          <w:szCs w:val="24"/>
        </w:rPr>
      </w:pPr>
    </w:p>
    <w:sectPr w:rsidR="00BA3721" w:rsidRPr="001F1486" w:rsidSect="007C4EA8">
      <w:footerReference w:type="default" r:id="rId9"/>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5A0" w:rsidRDefault="002A25A0">
      <w:r>
        <w:separator/>
      </w:r>
    </w:p>
  </w:endnote>
  <w:endnote w:type="continuationSeparator" w:id="0">
    <w:p w:rsidR="002A25A0" w:rsidRDefault="002A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BE" w:rsidRPr="00B85BBE" w:rsidRDefault="00B85BBE">
    <w:pPr>
      <w:pStyle w:val="Footer"/>
      <w:jc w:val="center"/>
      <w:rPr>
        <w:rFonts w:ascii="Arial" w:hAnsi="Arial" w:cs="Arial"/>
      </w:rPr>
    </w:pPr>
    <w:r w:rsidRPr="00B85BBE">
      <w:rPr>
        <w:rFonts w:ascii="Arial" w:hAnsi="Arial" w:cs="Arial"/>
      </w:rPr>
      <w:fldChar w:fldCharType="begin"/>
    </w:r>
    <w:r w:rsidRPr="00B85BBE">
      <w:rPr>
        <w:rFonts w:ascii="Arial" w:hAnsi="Arial" w:cs="Arial"/>
      </w:rPr>
      <w:instrText xml:space="preserve"> PAGE   \* MERGEFORMAT </w:instrText>
    </w:r>
    <w:r w:rsidRPr="00B85BBE">
      <w:rPr>
        <w:rFonts w:ascii="Arial" w:hAnsi="Arial" w:cs="Arial"/>
      </w:rPr>
      <w:fldChar w:fldCharType="separate"/>
    </w:r>
    <w:r w:rsidR="003D5419">
      <w:rPr>
        <w:rFonts w:ascii="Arial" w:hAnsi="Arial" w:cs="Arial"/>
        <w:noProof/>
      </w:rPr>
      <w:t>1</w:t>
    </w:r>
    <w:r w:rsidRPr="00B85BBE">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5A0" w:rsidRDefault="002A25A0">
      <w:r>
        <w:separator/>
      </w:r>
    </w:p>
  </w:footnote>
  <w:footnote w:type="continuationSeparator" w:id="0">
    <w:p w:rsidR="002A25A0" w:rsidRDefault="002A25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0639"/>
    <w:multiLevelType w:val="multilevel"/>
    <w:tmpl w:val="E05838E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B8179B"/>
    <w:multiLevelType w:val="hybridMultilevel"/>
    <w:tmpl w:val="AEE28086"/>
    <w:lvl w:ilvl="0" w:tplc="9872B74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D5595C"/>
    <w:multiLevelType w:val="hybridMultilevel"/>
    <w:tmpl w:val="DC1E1B90"/>
    <w:lvl w:ilvl="0" w:tplc="AE22E49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E77B13"/>
    <w:multiLevelType w:val="singleLevel"/>
    <w:tmpl w:val="0409000F"/>
    <w:lvl w:ilvl="0">
      <w:start w:val="1"/>
      <w:numFmt w:val="decimal"/>
      <w:lvlText w:val="%1."/>
      <w:lvlJc w:val="left"/>
      <w:pPr>
        <w:tabs>
          <w:tab w:val="num" w:pos="360"/>
        </w:tabs>
        <w:ind w:left="360" w:hanging="360"/>
      </w:pPr>
    </w:lvl>
  </w:abstractNum>
  <w:abstractNum w:abstractNumId="4">
    <w:nsid w:val="0F35179C"/>
    <w:multiLevelType w:val="hybridMultilevel"/>
    <w:tmpl w:val="BFBE89AC"/>
    <w:lvl w:ilvl="0" w:tplc="172095E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0C4F6C"/>
    <w:multiLevelType w:val="multilevel"/>
    <w:tmpl w:val="2B3C18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0C576BE"/>
    <w:multiLevelType w:val="hybridMultilevel"/>
    <w:tmpl w:val="44F606B6"/>
    <w:lvl w:ilvl="0" w:tplc="172095E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83596F"/>
    <w:multiLevelType w:val="hybridMultilevel"/>
    <w:tmpl w:val="7E36560E"/>
    <w:lvl w:ilvl="0" w:tplc="596848B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E932ADB"/>
    <w:multiLevelType w:val="multilevel"/>
    <w:tmpl w:val="E05838E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12415C8"/>
    <w:multiLevelType w:val="multilevel"/>
    <w:tmpl w:val="2B3C18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124170D"/>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213E7530"/>
    <w:multiLevelType w:val="hybridMultilevel"/>
    <w:tmpl w:val="1BE6A428"/>
    <w:lvl w:ilvl="0" w:tplc="596848B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DD226D"/>
    <w:multiLevelType w:val="hybridMultilevel"/>
    <w:tmpl w:val="C082BDB8"/>
    <w:lvl w:ilvl="0" w:tplc="AE22E49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066264"/>
    <w:multiLevelType w:val="multilevel"/>
    <w:tmpl w:val="2B3C18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D2116DF"/>
    <w:multiLevelType w:val="hybridMultilevel"/>
    <w:tmpl w:val="2B3C18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BC5823"/>
    <w:multiLevelType w:val="hybridMultilevel"/>
    <w:tmpl w:val="EABEFE50"/>
    <w:lvl w:ilvl="0" w:tplc="172095E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EB7FBF"/>
    <w:multiLevelType w:val="multilevel"/>
    <w:tmpl w:val="E05838E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9595160"/>
    <w:multiLevelType w:val="hybridMultilevel"/>
    <w:tmpl w:val="6CB8323C"/>
    <w:lvl w:ilvl="0" w:tplc="596848B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25571E"/>
    <w:multiLevelType w:val="hybridMultilevel"/>
    <w:tmpl w:val="D52809CA"/>
    <w:lvl w:ilvl="0" w:tplc="596848B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431204"/>
    <w:multiLevelType w:val="hybridMultilevel"/>
    <w:tmpl w:val="A3161750"/>
    <w:lvl w:ilvl="0" w:tplc="172095E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8B3CE2"/>
    <w:multiLevelType w:val="hybridMultilevel"/>
    <w:tmpl w:val="E05838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1D2960"/>
    <w:multiLevelType w:val="hybridMultilevel"/>
    <w:tmpl w:val="F5B24E7E"/>
    <w:lvl w:ilvl="0" w:tplc="AE22E49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39368E"/>
    <w:multiLevelType w:val="hybridMultilevel"/>
    <w:tmpl w:val="3DCE8792"/>
    <w:lvl w:ilvl="0" w:tplc="596848B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C244AE"/>
    <w:multiLevelType w:val="multilevel"/>
    <w:tmpl w:val="E05838E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8842245"/>
    <w:multiLevelType w:val="hybridMultilevel"/>
    <w:tmpl w:val="B628D218"/>
    <w:lvl w:ilvl="0" w:tplc="172095E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FA6B3D"/>
    <w:multiLevelType w:val="hybridMultilevel"/>
    <w:tmpl w:val="7DAA53A6"/>
    <w:lvl w:ilvl="0" w:tplc="596848B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7E2BA7"/>
    <w:multiLevelType w:val="hybridMultilevel"/>
    <w:tmpl w:val="2BAAA44E"/>
    <w:lvl w:ilvl="0" w:tplc="AE22E49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7D5894"/>
    <w:multiLevelType w:val="hybridMultilevel"/>
    <w:tmpl w:val="E96ED534"/>
    <w:lvl w:ilvl="0" w:tplc="AE22E49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7375EC"/>
    <w:multiLevelType w:val="hybridMultilevel"/>
    <w:tmpl w:val="58CE2DDC"/>
    <w:lvl w:ilvl="0" w:tplc="172095E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9C2ECC"/>
    <w:multiLevelType w:val="hybridMultilevel"/>
    <w:tmpl w:val="08143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F7C0E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24E4733"/>
    <w:multiLevelType w:val="hybridMultilevel"/>
    <w:tmpl w:val="43E88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404599"/>
    <w:multiLevelType w:val="hybridMultilevel"/>
    <w:tmpl w:val="91F841AE"/>
    <w:lvl w:ilvl="0" w:tplc="AE22E49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6C777D"/>
    <w:multiLevelType w:val="multilevel"/>
    <w:tmpl w:val="2B3C18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FC42C17"/>
    <w:multiLevelType w:val="hybridMultilevel"/>
    <w:tmpl w:val="4DD66EF6"/>
    <w:lvl w:ilvl="0" w:tplc="AE22E49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745973"/>
    <w:multiLevelType w:val="hybridMultilevel"/>
    <w:tmpl w:val="AC8C0C84"/>
    <w:lvl w:ilvl="0" w:tplc="AE22E49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42A7E3D"/>
    <w:multiLevelType w:val="hybridMultilevel"/>
    <w:tmpl w:val="F1088754"/>
    <w:lvl w:ilvl="0" w:tplc="7D7449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B64599"/>
    <w:multiLevelType w:val="hybridMultilevel"/>
    <w:tmpl w:val="A776E01A"/>
    <w:lvl w:ilvl="0" w:tplc="172095E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BA40E0"/>
    <w:multiLevelType w:val="hybridMultilevel"/>
    <w:tmpl w:val="1BF60608"/>
    <w:lvl w:ilvl="0" w:tplc="172095E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94044C"/>
    <w:multiLevelType w:val="hybridMultilevel"/>
    <w:tmpl w:val="327622E2"/>
    <w:lvl w:ilvl="0" w:tplc="AE22E49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EA00B49"/>
    <w:multiLevelType w:val="hybridMultilevel"/>
    <w:tmpl w:val="284AEDD6"/>
    <w:lvl w:ilvl="0" w:tplc="AE22E49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30"/>
  </w:num>
  <w:num w:numId="4">
    <w:abstractNumId w:val="29"/>
  </w:num>
  <w:num w:numId="5">
    <w:abstractNumId w:val="31"/>
  </w:num>
  <w:num w:numId="6">
    <w:abstractNumId w:val="1"/>
  </w:num>
  <w:num w:numId="7">
    <w:abstractNumId w:val="7"/>
  </w:num>
  <w:num w:numId="8">
    <w:abstractNumId w:val="18"/>
  </w:num>
  <w:num w:numId="9">
    <w:abstractNumId w:val="17"/>
  </w:num>
  <w:num w:numId="10">
    <w:abstractNumId w:val="11"/>
  </w:num>
  <w:num w:numId="11">
    <w:abstractNumId w:val="25"/>
  </w:num>
  <w:num w:numId="12">
    <w:abstractNumId w:val="22"/>
  </w:num>
  <w:num w:numId="13">
    <w:abstractNumId w:val="40"/>
  </w:num>
  <w:num w:numId="14">
    <w:abstractNumId w:val="26"/>
  </w:num>
  <w:num w:numId="15">
    <w:abstractNumId w:val="34"/>
  </w:num>
  <w:num w:numId="16">
    <w:abstractNumId w:val="35"/>
  </w:num>
  <w:num w:numId="17">
    <w:abstractNumId w:val="27"/>
  </w:num>
  <w:num w:numId="18">
    <w:abstractNumId w:val="21"/>
  </w:num>
  <w:num w:numId="19">
    <w:abstractNumId w:val="2"/>
  </w:num>
  <w:num w:numId="20">
    <w:abstractNumId w:val="32"/>
  </w:num>
  <w:num w:numId="21">
    <w:abstractNumId w:val="12"/>
  </w:num>
  <w:num w:numId="22">
    <w:abstractNumId w:val="39"/>
  </w:num>
  <w:num w:numId="23">
    <w:abstractNumId w:val="14"/>
  </w:num>
  <w:num w:numId="24">
    <w:abstractNumId w:val="20"/>
  </w:num>
  <w:num w:numId="25">
    <w:abstractNumId w:val="9"/>
  </w:num>
  <w:num w:numId="26">
    <w:abstractNumId w:val="28"/>
  </w:num>
  <w:num w:numId="27">
    <w:abstractNumId w:val="5"/>
  </w:num>
  <w:num w:numId="28">
    <w:abstractNumId w:val="15"/>
  </w:num>
  <w:num w:numId="29">
    <w:abstractNumId w:val="33"/>
  </w:num>
  <w:num w:numId="30">
    <w:abstractNumId w:val="19"/>
  </w:num>
  <w:num w:numId="31">
    <w:abstractNumId w:val="13"/>
  </w:num>
  <w:num w:numId="32">
    <w:abstractNumId w:val="37"/>
  </w:num>
  <w:num w:numId="33">
    <w:abstractNumId w:val="0"/>
  </w:num>
  <w:num w:numId="34">
    <w:abstractNumId w:val="38"/>
  </w:num>
  <w:num w:numId="35">
    <w:abstractNumId w:val="23"/>
  </w:num>
  <w:num w:numId="36">
    <w:abstractNumId w:val="6"/>
  </w:num>
  <w:num w:numId="37">
    <w:abstractNumId w:val="8"/>
  </w:num>
  <w:num w:numId="38">
    <w:abstractNumId w:val="24"/>
  </w:num>
  <w:num w:numId="39">
    <w:abstractNumId w:val="16"/>
  </w:num>
  <w:num w:numId="40">
    <w:abstractNumId w:val="4"/>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B22450"/>
    <w:rsid w:val="0000389D"/>
    <w:rsid w:val="00004B32"/>
    <w:rsid w:val="00007C83"/>
    <w:rsid w:val="00007F25"/>
    <w:rsid w:val="00010A5E"/>
    <w:rsid w:val="0001126F"/>
    <w:rsid w:val="00011EF4"/>
    <w:rsid w:val="00013B21"/>
    <w:rsid w:val="00016865"/>
    <w:rsid w:val="0002240F"/>
    <w:rsid w:val="00023B50"/>
    <w:rsid w:val="0002447D"/>
    <w:rsid w:val="00032BD9"/>
    <w:rsid w:val="00032C04"/>
    <w:rsid w:val="00043E32"/>
    <w:rsid w:val="00051DFD"/>
    <w:rsid w:val="0005417E"/>
    <w:rsid w:val="00060860"/>
    <w:rsid w:val="00061A17"/>
    <w:rsid w:val="00063A25"/>
    <w:rsid w:val="00065184"/>
    <w:rsid w:val="0006559B"/>
    <w:rsid w:val="00065BB0"/>
    <w:rsid w:val="00067682"/>
    <w:rsid w:val="00067BCC"/>
    <w:rsid w:val="00067EB4"/>
    <w:rsid w:val="0007033F"/>
    <w:rsid w:val="00071087"/>
    <w:rsid w:val="0008081B"/>
    <w:rsid w:val="00083E75"/>
    <w:rsid w:val="0008606A"/>
    <w:rsid w:val="0008649B"/>
    <w:rsid w:val="00086678"/>
    <w:rsid w:val="00090365"/>
    <w:rsid w:val="00091204"/>
    <w:rsid w:val="00097E74"/>
    <w:rsid w:val="000A1CC0"/>
    <w:rsid w:val="000A658C"/>
    <w:rsid w:val="000A6EA8"/>
    <w:rsid w:val="000C4FF8"/>
    <w:rsid w:val="000C7FF3"/>
    <w:rsid w:val="000D2DD0"/>
    <w:rsid w:val="000D3860"/>
    <w:rsid w:val="000D5613"/>
    <w:rsid w:val="000E0136"/>
    <w:rsid w:val="000E143F"/>
    <w:rsid w:val="000E2D57"/>
    <w:rsid w:val="000E454D"/>
    <w:rsid w:val="000F2D7B"/>
    <w:rsid w:val="000F78F8"/>
    <w:rsid w:val="000F7D07"/>
    <w:rsid w:val="00110C3D"/>
    <w:rsid w:val="00115221"/>
    <w:rsid w:val="001164F6"/>
    <w:rsid w:val="001239D9"/>
    <w:rsid w:val="00124268"/>
    <w:rsid w:val="001261B0"/>
    <w:rsid w:val="00134822"/>
    <w:rsid w:val="00136F6C"/>
    <w:rsid w:val="0013786E"/>
    <w:rsid w:val="0015098B"/>
    <w:rsid w:val="00154DD5"/>
    <w:rsid w:val="00155CE3"/>
    <w:rsid w:val="00157F6C"/>
    <w:rsid w:val="00160BF2"/>
    <w:rsid w:val="00182F4B"/>
    <w:rsid w:val="00185A10"/>
    <w:rsid w:val="00186128"/>
    <w:rsid w:val="00193C12"/>
    <w:rsid w:val="00194BA5"/>
    <w:rsid w:val="001C11F2"/>
    <w:rsid w:val="001C167B"/>
    <w:rsid w:val="001C39EE"/>
    <w:rsid w:val="001C611B"/>
    <w:rsid w:val="001D34AE"/>
    <w:rsid w:val="001D549B"/>
    <w:rsid w:val="001E16C7"/>
    <w:rsid w:val="001E4BD4"/>
    <w:rsid w:val="001E6820"/>
    <w:rsid w:val="001E7167"/>
    <w:rsid w:val="001F1486"/>
    <w:rsid w:val="001F35AF"/>
    <w:rsid w:val="001F4AF3"/>
    <w:rsid w:val="001F4F4D"/>
    <w:rsid w:val="001F53C0"/>
    <w:rsid w:val="001F662F"/>
    <w:rsid w:val="001F7AC4"/>
    <w:rsid w:val="00200435"/>
    <w:rsid w:val="002053D5"/>
    <w:rsid w:val="00211058"/>
    <w:rsid w:val="00217B28"/>
    <w:rsid w:val="0022122C"/>
    <w:rsid w:val="002223C2"/>
    <w:rsid w:val="0022392B"/>
    <w:rsid w:val="002274F0"/>
    <w:rsid w:val="0023099B"/>
    <w:rsid w:val="00242873"/>
    <w:rsid w:val="0025120E"/>
    <w:rsid w:val="00263D39"/>
    <w:rsid w:val="00280216"/>
    <w:rsid w:val="00280470"/>
    <w:rsid w:val="002819FD"/>
    <w:rsid w:val="002916B3"/>
    <w:rsid w:val="00291DB6"/>
    <w:rsid w:val="00297028"/>
    <w:rsid w:val="002A0612"/>
    <w:rsid w:val="002A09C6"/>
    <w:rsid w:val="002A25A0"/>
    <w:rsid w:val="002A40EC"/>
    <w:rsid w:val="002A6C91"/>
    <w:rsid w:val="002A6EB5"/>
    <w:rsid w:val="002B034C"/>
    <w:rsid w:val="002B40F3"/>
    <w:rsid w:val="002B5063"/>
    <w:rsid w:val="002B614F"/>
    <w:rsid w:val="002B617E"/>
    <w:rsid w:val="002C1107"/>
    <w:rsid w:val="002D2CE9"/>
    <w:rsid w:val="002E0490"/>
    <w:rsid w:val="002E378A"/>
    <w:rsid w:val="002E3A42"/>
    <w:rsid w:val="002F010F"/>
    <w:rsid w:val="002F3509"/>
    <w:rsid w:val="002F624D"/>
    <w:rsid w:val="002F7715"/>
    <w:rsid w:val="00303E94"/>
    <w:rsid w:val="00304B46"/>
    <w:rsid w:val="00304D93"/>
    <w:rsid w:val="00307285"/>
    <w:rsid w:val="00307C29"/>
    <w:rsid w:val="003121D8"/>
    <w:rsid w:val="00314AC9"/>
    <w:rsid w:val="00320637"/>
    <w:rsid w:val="00327D63"/>
    <w:rsid w:val="003302D2"/>
    <w:rsid w:val="00331030"/>
    <w:rsid w:val="003409DB"/>
    <w:rsid w:val="00343184"/>
    <w:rsid w:val="00352035"/>
    <w:rsid w:val="00355A20"/>
    <w:rsid w:val="0036037D"/>
    <w:rsid w:val="003662F7"/>
    <w:rsid w:val="00366E4A"/>
    <w:rsid w:val="0036781A"/>
    <w:rsid w:val="00367E37"/>
    <w:rsid w:val="00380C6B"/>
    <w:rsid w:val="003811FB"/>
    <w:rsid w:val="00381F94"/>
    <w:rsid w:val="00385138"/>
    <w:rsid w:val="003868F8"/>
    <w:rsid w:val="00390646"/>
    <w:rsid w:val="0039683E"/>
    <w:rsid w:val="003A0F10"/>
    <w:rsid w:val="003A13CA"/>
    <w:rsid w:val="003A58DF"/>
    <w:rsid w:val="003D06D5"/>
    <w:rsid w:val="003D0731"/>
    <w:rsid w:val="003D2CC7"/>
    <w:rsid w:val="003D370D"/>
    <w:rsid w:val="003D5419"/>
    <w:rsid w:val="003E04FA"/>
    <w:rsid w:val="003E0DB7"/>
    <w:rsid w:val="003E7344"/>
    <w:rsid w:val="003F38F1"/>
    <w:rsid w:val="00403E32"/>
    <w:rsid w:val="004046E4"/>
    <w:rsid w:val="00407878"/>
    <w:rsid w:val="00411DA9"/>
    <w:rsid w:val="00413A0F"/>
    <w:rsid w:val="00415C72"/>
    <w:rsid w:val="004164DD"/>
    <w:rsid w:val="00417267"/>
    <w:rsid w:val="004215E9"/>
    <w:rsid w:val="004231F8"/>
    <w:rsid w:val="004240D2"/>
    <w:rsid w:val="00425D30"/>
    <w:rsid w:val="00426930"/>
    <w:rsid w:val="00426B30"/>
    <w:rsid w:val="0043309D"/>
    <w:rsid w:val="00435D9B"/>
    <w:rsid w:val="00436241"/>
    <w:rsid w:val="00440578"/>
    <w:rsid w:val="004436B6"/>
    <w:rsid w:val="00446635"/>
    <w:rsid w:val="004477DD"/>
    <w:rsid w:val="004479B5"/>
    <w:rsid w:val="004539A8"/>
    <w:rsid w:val="004562B5"/>
    <w:rsid w:val="004627E1"/>
    <w:rsid w:val="00466E8F"/>
    <w:rsid w:val="0047106E"/>
    <w:rsid w:val="00471C3B"/>
    <w:rsid w:val="00473A10"/>
    <w:rsid w:val="004779A8"/>
    <w:rsid w:val="004804E9"/>
    <w:rsid w:val="00485351"/>
    <w:rsid w:val="00485603"/>
    <w:rsid w:val="00486226"/>
    <w:rsid w:val="0049190C"/>
    <w:rsid w:val="00491AC9"/>
    <w:rsid w:val="0049356D"/>
    <w:rsid w:val="00497AED"/>
    <w:rsid w:val="00497F15"/>
    <w:rsid w:val="004A0DC0"/>
    <w:rsid w:val="004A633C"/>
    <w:rsid w:val="004A68E5"/>
    <w:rsid w:val="004A6FB1"/>
    <w:rsid w:val="004C2CCA"/>
    <w:rsid w:val="004D0790"/>
    <w:rsid w:val="004D0DF0"/>
    <w:rsid w:val="004D3020"/>
    <w:rsid w:val="004D5050"/>
    <w:rsid w:val="004D546B"/>
    <w:rsid w:val="004E0C82"/>
    <w:rsid w:val="004E2786"/>
    <w:rsid w:val="004E3DB6"/>
    <w:rsid w:val="004E52DA"/>
    <w:rsid w:val="004E54B8"/>
    <w:rsid w:val="004F055D"/>
    <w:rsid w:val="004F4476"/>
    <w:rsid w:val="00500685"/>
    <w:rsid w:val="005016EE"/>
    <w:rsid w:val="00502CFB"/>
    <w:rsid w:val="00503272"/>
    <w:rsid w:val="00506644"/>
    <w:rsid w:val="00506EC4"/>
    <w:rsid w:val="00516F75"/>
    <w:rsid w:val="005229A0"/>
    <w:rsid w:val="005272AF"/>
    <w:rsid w:val="00533213"/>
    <w:rsid w:val="005454E4"/>
    <w:rsid w:val="0054591F"/>
    <w:rsid w:val="005503E5"/>
    <w:rsid w:val="00552096"/>
    <w:rsid w:val="00555B8B"/>
    <w:rsid w:val="00562883"/>
    <w:rsid w:val="0056412C"/>
    <w:rsid w:val="00566A9E"/>
    <w:rsid w:val="005704D7"/>
    <w:rsid w:val="00571170"/>
    <w:rsid w:val="00580801"/>
    <w:rsid w:val="005808D4"/>
    <w:rsid w:val="00582AF5"/>
    <w:rsid w:val="00587F3C"/>
    <w:rsid w:val="00590334"/>
    <w:rsid w:val="00592FC2"/>
    <w:rsid w:val="00596914"/>
    <w:rsid w:val="00596ED6"/>
    <w:rsid w:val="005A3305"/>
    <w:rsid w:val="005A49B3"/>
    <w:rsid w:val="005A5C99"/>
    <w:rsid w:val="005B4663"/>
    <w:rsid w:val="005B605C"/>
    <w:rsid w:val="005B6C80"/>
    <w:rsid w:val="005C4FED"/>
    <w:rsid w:val="005C65C6"/>
    <w:rsid w:val="005D5686"/>
    <w:rsid w:val="005D7E43"/>
    <w:rsid w:val="005E3679"/>
    <w:rsid w:val="005E4699"/>
    <w:rsid w:val="005F170D"/>
    <w:rsid w:val="005F7DA9"/>
    <w:rsid w:val="0060151F"/>
    <w:rsid w:val="006028A8"/>
    <w:rsid w:val="00603510"/>
    <w:rsid w:val="00605FBB"/>
    <w:rsid w:val="006076ED"/>
    <w:rsid w:val="0061043E"/>
    <w:rsid w:val="0061276E"/>
    <w:rsid w:val="0061697B"/>
    <w:rsid w:val="00616C37"/>
    <w:rsid w:val="00617B88"/>
    <w:rsid w:val="00624F0C"/>
    <w:rsid w:val="00626B78"/>
    <w:rsid w:val="00626FD7"/>
    <w:rsid w:val="00634C2B"/>
    <w:rsid w:val="00635D83"/>
    <w:rsid w:val="00635DB1"/>
    <w:rsid w:val="00637A53"/>
    <w:rsid w:val="006405DA"/>
    <w:rsid w:val="0064214E"/>
    <w:rsid w:val="0065359E"/>
    <w:rsid w:val="00672D46"/>
    <w:rsid w:val="00675CC0"/>
    <w:rsid w:val="006778BB"/>
    <w:rsid w:val="0068041B"/>
    <w:rsid w:val="00681646"/>
    <w:rsid w:val="00685415"/>
    <w:rsid w:val="00685CDF"/>
    <w:rsid w:val="00685FED"/>
    <w:rsid w:val="00686613"/>
    <w:rsid w:val="00693646"/>
    <w:rsid w:val="00695D8E"/>
    <w:rsid w:val="006973AC"/>
    <w:rsid w:val="006A47E4"/>
    <w:rsid w:val="006B129C"/>
    <w:rsid w:val="006B1C85"/>
    <w:rsid w:val="006B2B3F"/>
    <w:rsid w:val="006C03B4"/>
    <w:rsid w:val="006C5FA7"/>
    <w:rsid w:val="006C71A5"/>
    <w:rsid w:val="006C7452"/>
    <w:rsid w:val="006D5554"/>
    <w:rsid w:val="006D5E66"/>
    <w:rsid w:val="006E1657"/>
    <w:rsid w:val="006E6F32"/>
    <w:rsid w:val="006F4295"/>
    <w:rsid w:val="006F7409"/>
    <w:rsid w:val="0070478E"/>
    <w:rsid w:val="0070515C"/>
    <w:rsid w:val="00705BCD"/>
    <w:rsid w:val="0071008F"/>
    <w:rsid w:val="00711736"/>
    <w:rsid w:val="00713A17"/>
    <w:rsid w:val="0071627E"/>
    <w:rsid w:val="0072292C"/>
    <w:rsid w:val="00726C1B"/>
    <w:rsid w:val="00733795"/>
    <w:rsid w:val="007378F2"/>
    <w:rsid w:val="00752361"/>
    <w:rsid w:val="007550D2"/>
    <w:rsid w:val="007559E0"/>
    <w:rsid w:val="00755C16"/>
    <w:rsid w:val="00760330"/>
    <w:rsid w:val="00766AD6"/>
    <w:rsid w:val="00766D3D"/>
    <w:rsid w:val="0077355D"/>
    <w:rsid w:val="00777638"/>
    <w:rsid w:val="00781634"/>
    <w:rsid w:val="00781CFF"/>
    <w:rsid w:val="00782EA1"/>
    <w:rsid w:val="00787B32"/>
    <w:rsid w:val="00792772"/>
    <w:rsid w:val="00794679"/>
    <w:rsid w:val="007A0F5D"/>
    <w:rsid w:val="007A3553"/>
    <w:rsid w:val="007A44BE"/>
    <w:rsid w:val="007A67CE"/>
    <w:rsid w:val="007B0129"/>
    <w:rsid w:val="007B0C04"/>
    <w:rsid w:val="007B47D4"/>
    <w:rsid w:val="007B4E41"/>
    <w:rsid w:val="007B6984"/>
    <w:rsid w:val="007C3D41"/>
    <w:rsid w:val="007C4EA8"/>
    <w:rsid w:val="007C5B09"/>
    <w:rsid w:val="007C6DED"/>
    <w:rsid w:val="007C7C5A"/>
    <w:rsid w:val="007D24BB"/>
    <w:rsid w:val="007D331D"/>
    <w:rsid w:val="007D4DD8"/>
    <w:rsid w:val="007E1198"/>
    <w:rsid w:val="007E3EA2"/>
    <w:rsid w:val="007E49BF"/>
    <w:rsid w:val="007E5263"/>
    <w:rsid w:val="007E7756"/>
    <w:rsid w:val="007F07FD"/>
    <w:rsid w:val="007F4577"/>
    <w:rsid w:val="007F65CE"/>
    <w:rsid w:val="007F66E8"/>
    <w:rsid w:val="007F6935"/>
    <w:rsid w:val="007F7D54"/>
    <w:rsid w:val="00800E78"/>
    <w:rsid w:val="008042B1"/>
    <w:rsid w:val="00810C2B"/>
    <w:rsid w:val="008127EF"/>
    <w:rsid w:val="00812D1B"/>
    <w:rsid w:val="0081363B"/>
    <w:rsid w:val="008139CD"/>
    <w:rsid w:val="0081626F"/>
    <w:rsid w:val="00817B94"/>
    <w:rsid w:val="0082011D"/>
    <w:rsid w:val="00820565"/>
    <w:rsid w:val="008225C2"/>
    <w:rsid w:val="00824592"/>
    <w:rsid w:val="00825BA9"/>
    <w:rsid w:val="00831293"/>
    <w:rsid w:val="008335EF"/>
    <w:rsid w:val="00833C7B"/>
    <w:rsid w:val="008349CD"/>
    <w:rsid w:val="00852110"/>
    <w:rsid w:val="00853F18"/>
    <w:rsid w:val="008555B2"/>
    <w:rsid w:val="0085796F"/>
    <w:rsid w:val="00860CA1"/>
    <w:rsid w:val="00861174"/>
    <w:rsid w:val="00861E93"/>
    <w:rsid w:val="008634BC"/>
    <w:rsid w:val="0086648A"/>
    <w:rsid w:val="008679C5"/>
    <w:rsid w:val="00870D12"/>
    <w:rsid w:val="008731CF"/>
    <w:rsid w:val="00873A22"/>
    <w:rsid w:val="008752A1"/>
    <w:rsid w:val="008753D5"/>
    <w:rsid w:val="00875941"/>
    <w:rsid w:val="008923C7"/>
    <w:rsid w:val="00894191"/>
    <w:rsid w:val="008946D0"/>
    <w:rsid w:val="008A182F"/>
    <w:rsid w:val="008A1E6B"/>
    <w:rsid w:val="008A2301"/>
    <w:rsid w:val="008A3EF3"/>
    <w:rsid w:val="008B1747"/>
    <w:rsid w:val="008B198C"/>
    <w:rsid w:val="008C0804"/>
    <w:rsid w:val="008C3430"/>
    <w:rsid w:val="008C6209"/>
    <w:rsid w:val="008C702B"/>
    <w:rsid w:val="008D0B64"/>
    <w:rsid w:val="008D213A"/>
    <w:rsid w:val="008D6F07"/>
    <w:rsid w:val="008E1B7D"/>
    <w:rsid w:val="008E4DAA"/>
    <w:rsid w:val="008E520C"/>
    <w:rsid w:val="008E75A3"/>
    <w:rsid w:val="008E7AF3"/>
    <w:rsid w:val="008F70EE"/>
    <w:rsid w:val="00901374"/>
    <w:rsid w:val="0090480E"/>
    <w:rsid w:val="00907327"/>
    <w:rsid w:val="009077F1"/>
    <w:rsid w:val="00907A42"/>
    <w:rsid w:val="0092038A"/>
    <w:rsid w:val="00921B35"/>
    <w:rsid w:val="00921C97"/>
    <w:rsid w:val="0092214F"/>
    <w:rsid w:val="0092555F"/>
    <w:rsid w:val="00925B2C"/>
    <w:rsid w:val="00926EEA"/>
    <w:rsid w:val="009302B9"/>
    <w:rsid w:val="0093061D"/>
    <w:rsid w:val="00937EFC"/>
    <w:rsid w:val="009414A9"/>
    <w:rsid w:val="00942E00"/>
    <w:rsid w:val="00950590"/>
    <w:rsid w:val="0095099C"/>
    <w:rsid w:val="009539E8"/>
    <w:rsid w:val="009545C6"/>
    <w:rsid w:val="00956406"/>
    <w:rsid w:val="00963721"/>
    <w:rsid w:val="00964694"/>
    <w:rsid w:val="0097683F"/>
    <w:rsid w:val="00982D29"/>
    <w:rsid w:val="0098517B"/>
    <w:rsid w:val="009859B5"/>
    <w:rsid w:val="00986494"/>
    <w:rsid w:val="00987294"/>
    <w:rsid w:val="009900CB"/>
    <w:rsid w:val="00991ED9"/>
    <w:rsid w:val="00992313"/>
    <w:rsid w:val="009937B7"/>
    <w:rsid w:val="0099794B"/>
    <w:rsid w:val="0099799B"/>
    <w:rsid w:val="009A721D"/>
    <w:rsid w:val="009B0A20"/>
    <w:rsid w:val="009B3E14"/>
    <w:rsid w:val="009C0B0B"/>
    <w:rsid w:val="009D1F09"/>
    <w:rsid w:val="009D2729"/>
    <w:rsid w:val="009E019C"/>
    <w:rsid w:val="009E11BF"/>
    <w:rsid w:val="009E44F0"/>
    <w:rsid w:val="009F1CE5"/>
    <w:rsid w:val="009F1FEC"/>
    <w:rsid w:val="009F24A7"/>
    <w:rsid w:val="009F583F"/>
    <w:rsid w:val="009F6199"/>
    <w:rsid w:val="00A105F6"/>
    <w:rsid w:val="00A1130E"/>
    <w:rsid w:val="00A132BF"/>
    <w:rsid w:val="00A165BC"/>
    <w:rsid w:val="00A16C3A"/>
    <w:rsid w:val="00A174CC"/>
    <w:rsid w:val="00A32CE6"/>
    <w:rsid w:val="00A371DA"/>
    <w:rsid w:val="00A37583"/>
    <w:rsid w:val="00A40AA3"/>
    <w:rsid w:val="00A4181A"/>
    <w:rsid w:val="00A46B01"/>
    <w:rsid w:val="00A51A82"/>
    <w:rsid w:val="00A634B3"/>
    <w:rsid w:val="00A70DE9"/>
    <w:rsid w:val="00A71442"/>
    <w:rsid w:val="00A728BF"/>
    <w:rsid w:val="00A72A4C"/>
    <w:rsid w:val="00A735CD"/>
    <w:rsid w:val="00A757DD"/>
    <w:rsid w:val="00A7584D"/>
    <w:rsid w:val="00A7695A"/>
    <w:rsid w:val="00A841F3"/>
    <w:rsid w:val="00A865A1"/>
    <w:rsid w:val="00AA2180"/>
    <w:rsid w:val="00AA4C48"/>
    <w:rsid w:val="00AA52C9"/>
    <w:rsid w:val="00AA79B7"/>
    <w:rsid w:val="00AB2947"/>
    <w:rsid w:val="00AB30B2"/>
    <w:rsid w:val="00AB40CD"/>
    <w:rsid w:val="00AB4620"/>
    <w:rsid w:val="00AB709B"/>
    <w:rsid w:val="00AB7832"/>
    <w:rsid w:val="00AC2186"/>
    <w:rsid w:val="00AC3D0F"/>
    <w:rsid w:val="00AC4031"/>
    <w:rsid w:val="00AC7859"/>
    <w:rsid w:val="00AD065A"/>
    <w:rsid w:val="00AD0C30"/>
    <w:rsid w:val="00AD116F"/>
    <w:rsid w:val="00AD15A5"/>
    <w:rsid w:val="00AD2CB6"/>
    <w:rsid w:val="00AD4ACA"/>
    <w:rsid w:val="00AD6114"/>
    <w:rsid w:val="00AD6240"/>
    <w:rsid w:val="00AE0F8E"/>
    <w:rsid w:val="00AF5E6F"/>
    <w:rsid w:val="00AF65D3"/>
    <w:rsid w:val="00B058B1"/>
    <w:rsid w:val="00B119DC"/>
    <w:rsid w:val="00B213BF"/>
    <w:rsid w:val="00B21AC9"/>
    <w:rsid w:val="00B22450"/>
    <w:rsid w:val="00B25D46"/>
    <w:rsid w:val="00B277E5"/>
    <w:rsid w:val="00B31322"/>
    <w:rsid w:val="00B31679"/>
    <w:rsid w:val="00B3225B"/>
    <w:rsid w:val="00B34FBF"/>
    <w:rsid w:val="00B40197"/>
    <w:rsid w:val="00B53E89"/>
    <w:rsid w:val="00B573A8"/>
    <w:rsid w:val="00B60777"/>
    <w:rsid w:val="00B642DB"/>
    <w:rsid w:val="00B67171"/>
    <w:rsid w:val="00B67854"/>
    <w:rsid w:val="00B70178"/>
    <w:rsid w:val="00B75BB1"/>
    <w:rsid w:val="00B76A24"/>
    <w:rsid w:val="00B80F23"/>
    <w:rsid w:val="00B82FC6"/>
    <w:rsid w:val="00B85BBE"/>
    <w:rsid w:val="00B87B10"/>
    <w:rsid w:val="00B97C9E"/>
    <w:rsid w:val="00BA1F5F"/>
    <w:rsid w:val="00BA3721"/>
    <w:rsid w:val="00BA4DCB"/>
    <w:rsid w:val="00BA6807"/>
    <w:rsid w:val="00BB34CC"/>
    <w:rsid w:val="00BB69A3"/>
    <w:rsid w:val="00BC4F1E"/>
    <w:rsid w:val="00BC7400"/>
    <w:rsid w:val="00BC7774"/>
    <w:rsid w:val="00BD027A"/>
    <w:rsid w:val="00BD248C"/>
    <w:rsid w:val="00BD5149"/>
    <w:rsid w:val="00BD52EA"/>
    <w:rsid w:val="00BD559A"/>
    <w:rsid w:val="00BD718E"/>
    <w:rsid w:val="00BD77F4"/>
    <w:rsid w:val="00BD7914"/>
    <w:rsid w:val="00BE211D"/>
    <w:rsid w:val="00BF2888"/>
    <w:rsid w:val="00C06F68"/>
    <w:rsid w:val="00C10AE8"/>
    <w:rsid w:val="00C12F7A"/>
    <w:rsid w:val="00C13884"/>
    <w:rsid w:val="00C14DB5"/>
    <w:rsid w:val="00C15D1F"/>
    <w:rsid w:val="00C203E8"/>
    <w:rsid w:val="00C3091F"/>
    <w:rsid w:val="00C30A35"/>
    <w:rsid w:val="00C32606"/>
    <w:rsid w:val="00C32960"/>
    <w:rsid w:val="00C3395C"/>
    <w:rsid w:val="00C355D7"/>
    <w:rsid w:val="00C3687C"/>
    <w:rsid w:val="00C429D8"/>
    <w:rsid w:val="00C4322C"/>
    <w:rsid w:val="00C47054"/>
    <w:rsid w:val="00C61330"/>
    <w:rsid w:val="00C6222F"/>
    <w:rsid w:val="00C67375"/>
    <w:rsid w:val="00C67BDC"/>
    <w:rsid w:val="00C70F89"/>
    <w:rsid w:val="00C74C49"/>
    <w:rsid w:val="00C7539C"/>
    <w:rsid w:val="00C77748"/>
    <w:rsid w:val="00C8235B"/>
    <w:rsid w:val="00C84C04"/>
    <w:rsid w:val="00C85908"/>
    <w:rsid w:val="00C85FF1"/>
    <w:rsid w:val="00C875BD"/>
    <w:rsid w:val="00C90829"/>
    <w:rsid w:val="00C93723"/>
    <w:rsid w:val="00C94284"/>
    <w:rsid w:val="00C96C55"/>
    <w:rsid w:val="00CA0A8A"/>
    <w:rsid w:val="00CA10BE"/>
    <w:rsid w:val="00CA176E"/>
    <w:rsid w:val="00CA1A7E"/>
    <w:rsid w:val="00CA768A"/>
    <w:rsid w:val="00CB0FE6"/>
    <w:rsid w:val="00CB1F59"/>
    <w:rsid w:val="00CB3DDE"/>
    <w:rsid w:val="00CB4C01"/>
    <w:rsid w:val="00CB62EE"/>
    <w:rsid w:val="00CB7DB2"/>
    <w:rsid w:val="00CC26A2"/>
    <w:rsid w:val="00CC3D0B"/>
    <w:rsid w:val="00CC56FE"/>
    <w:rsid w:val="00CC5D58"/>
    <w:rsid w:val="00CC67BD"/>
    <w:rsid w:val="00CC73BA"/>
    <w:rsid w:val="00CC78D4"/>
    <w:rsid w:val="00CD243F"/>
    <w:rsid w:val="00CD523C"/>
    <w:rsid w:val="00CD53EA"/>
    <w:rsid w:val="00CE4B86"/>
    <w:rsid w:val="00CE5A3F"/>
    <w:rsid w:val="00CF4922"/>
    <w:rsid w:val="00CF4F1C"/>
    <w:rsid w:val="00D01EEE"/>
    <w:rsid w:val="00D142E9"/>
    <w:rsid w:val="00D146BB"/>
    <w:rsid w:val="00D150D2"/>
    <w:rsid w:val="00D20B62"/>
    <w:rsid w:val="00D23A8C"/>
    <w:rsid w:val="00D255AA"/>
    <w:rsid w:val="00D26345"/>
    <w:rsid w:val="00D26EFC"/>
    <w:rsid w:val="00D27F58"/>
    <w:rsid w:val="00D300CA"/>
    <w:rsid w:val="00D3237D"/>
    <w:rsid w:val="00D3325C"/>
    <w:rsid w:val="00D3507B"/>
    <w:rsid w:val="00D36AD2"/>
    <w:rsid w:val="00D404CB"/>
    <w:rsid w:val="00D45B97"/>
    <w:rsid w:val="00D50274"/>
    <w:rsid w:val="00D52B8F"/>
    <w:rsid w:val="00D52E6D"/>
    <w:rsid w:val="00D538F1"/>
    <w:rsid w:val="00D54BE2"/>
    <w:rsid w:val="00D56377"/>
    <w:rsid w:val="00D61B2D"/>
    <w:rsid w:val="00D62676"/>
    <w:rsid w:val="00D63BF3"/>
    <w:rsid w:val="00D640A9"/>
    <w:rsid w:val="00D64B26"/>
    <w:rsid w:val="00D73C7F"/>
    <w:rsid w:val="00D774F8"/>
    <w:rsid w:val="00D822FE"/>
    <w:rsid w:val="00D90AB0"/>
    <w:rsid w:val="00D96690"/>
    <w:rsid w:val="00DA188C"/>
    <w:rsid w:val="00DA7A7F"/>
    <w:rsid w:val="00DB01E9"/>
    <w:rsid w:val="00DB0495"/>
    <w:rsid w:val="00DB0FA3"/>
    <w:rsid w:val="00DB3F54"/>
    <w:rsid w:val="00DB5165"/>
    <w:rsid w:val="00DB734C"/>
    <w:rsid w:val="00DC0CFE"/>
    <w:rsid w:val="00DC470A"/>
    <w:rsid w:val="00DC7DBA"/>
    <w:rsid w:val="00DD0877"/>
    <w:rsid w:val="00DD50D1"/>
    <w:rsid w:val="00DD5E1D"/>
    <w:rsid w:val="00DE27FF"/>
    <w:rsid w:val="00DE4456"/>
    <w:rsid w:val="00DF2774"/>
    <w:rsid w:val="00DF5394"/>
    <w:rsid w:val="00E0165C"/>
    <w:rsid w:val="00E022B9"/>
    <w:rsid w:val="00E0473C"/>
    <w:rsid w:val="00E11FB4"/>
    <w:rsid w:val="00E12D6B"/>
    <w:rsid w:val="00E13A63"/>
    <w:rsid w:val="00E13B79"/>
    <w:rsid w:val="00E146D4"/>
    <w:rsid w:val="00E20010"/>
    <w:rsid w:val="00E3170E"/>
    <w:rsid w:val="00E34A19"/>
    <w:rsid w:val="00E41313"/>
    <w:rsid w:val="00E45731"/>
    <w:rsid w:val="00E47B57"/>
    <w:rsid w:val="00E52939"/>
    <w:rsid w:val="00E621F3"/>
    <w:rsid w:val="00E72B89"/>
    <w:rsid w:val="00E7334E"/>
    <w:rsid w:val="00E922C4"/>
    <w:rsid w:val="00E946FB"/>
    <w:rsid w:val="00EA7145"/>
    <w:rsid w:val="00EB115D"/>
    <w:rsid w:val="00EB74D2"/>
    <w:rsid w:val="00EB7FBC"/>
    <w:rsid w:val="00EC143C"/>
    <w:rsid w:val="00EC456B"/>
    <w:rsid w:val="00EC5864"/>
    <w:rsid w:val="00EC5AB0"/>
    <w:rsid w:val="00EC6C5C"/>
    <w:rsid w:val="00ED3837"/>
    <w:rsid w:val="00ED3CFE"/>
    <w:rsid w:val="00ED61ED"/>
    <w:rsid w:val="00ED72A4"/>
    <w:rsid w:val="00EE2374"/>
    <w:rsid w:val="00EE2A12"/>
    <w:rsid w:val="00EF19BF"/>
    <w:rsid w:val="00EF66E2"/>
    <w:rsid w:val="00EF6C7D"/>
    <w:rsid w:val="00F015B9"/>
    <w:rsid w:val="00F03ED4"/>
    <w:rsid w:val="00F123C9"/>
    <w:rsid w:val="00F30100"/>
    <w:rsid w:val="00F32131"/>
    <w:rsid w:val="00F32710"/>
    <w:rsid w:val="00F33162"/>
    <w:rsid w:val="00F336D7"/>
    <w:rsid w:val="00F40B68"/>
    <w:rsid w:val="00F41FDA"/>
    <w:rsid w:val="00F512CC"/>
    <w:rsid w:val="00F520A2"/>
    <w:rsid w:val="00F550DF"/>
    <w:rsid w:val="00F560D4"/>
    <w:rsid w:val="00F56C11"/>
    <w:rsid w:val="00F57BA9"/>
    <w:rsid w:val="00F63292"/>
    <w:rsid w:val="00F63548"/>
    <w:rsid w:val="00F67978"/>
    <w:rsid w:val="00F679B7"/>
    <w:rsid w:val="00F67A7C"/>
    <w:rsid w:val="00F71211"/>
    <w:rsid w:val="00F733A2"/>
    <w:rsid w:val="00F76895"/>
    <w:rsid w:val="00F87A45"/>
    <w:rsid w:val="00F901F9"/>
    <w:rsid w:val="00F94D23"/>
    <w:rsid w:val="00FA0DF6"/>
    <w:rsid w:val="00FA25B2"/>
    <w:rsid w:val="00FA270A"/>
    <w:rsid w:val="00FA2D48"/>
    <w:rsid w:val="00FA32C3"/>
    <w:rsid w:val="00FB015A"/>
    <w:rsid w:val="00FB6A8F"/>
    <w:rsid w:val="00FC0D15"/>
    <w:rsid w:val="00FC1B20"/>
    <w:rsid w:val="00FC4B32"/>
    <w:rsid w:val="00FC5B87"/>
    <w:rsid w:val="00FC62F1"/>
    <w:rsid w:val="00FD0525"/>
    <w:rsid w:val="00FD40E2"/>
    <w:rsid w:val="00FD47DA"/>
    <w:rsid w:val="00FD672F"/>
    <w:rsid w:val="00FE222F"/>
    <w:rsid w:val="00FF1411"/>
    <w:rsid w:val="00FF4B29"/>
    <w:rsid w:val="00FF4EC1"/>
    <w:rsid w:val="00FF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rsid w:val="009851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outlineLvl w:val="0"/>
    </w:pPr>
    <w:rPr>
      <w:rFonts w:ascii="Arial" w:hAnsi="Arial" w:cs="Arial"/>
      <w:b/>
      <w:snapToGrid w:val="0"/>
      <w:color w:val="000000"/>
      <w:sz w:val="32"/>
      <w:szCs w:val="32"/>
    </w:rPr>
  </w:style>
  <w:style w:type="paragraph" w:styleId="Heading2">
    <w:name w:val="heading 2"/>
    <w:basedOn w:val="Normal"/>
    <w:next w:val="Normal"/>
    <w:qFormat/>
    <w:rsid w:val="0098517B"/>
    <w:pPr>
      <w:widowControl w:val="0"/>
      <w:spacing w:before="120" w:after="240"/>
      <w:jc w:val="both"/>
      <w:outlineLvl w:val="1"/>
    </w:pPr>
    <w:rPr>
      <w:rFonts w:ascii="Arial" w:hAnsi="Arial" w:cs="Arial"/>
      <w:b/>
      <w:szCs w:val="24"/>
    </w:rPr>
  </w:style>
  <w:style w:type="paragraph" w:styleId="Heading3">
    <w:name w:val="heading 3"/>
    <w:basedOn w:val="Normal"/>
    <w:next w:val="Normal"/>
    <w:qFormat/>
    <w:rsid w:val="0098517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rFonts w:ascii="Arial" w:hAnsi="Arial"/>
      <w:snapToGrid w:val="0"/>
      <w:color w:val="000000"/>
      <w:u w:val="single"/>
    </w:rPr>
  </w:style>
  <w:style w:type="paragraph" w:styleId="Heading4">
    <w:name w:val="heading 4"/>
    <w:basedOn w:val="Normal"/>
    <w:next w:val="Normal"/>
    <w:qFormat/>
    <w:pPr>
      <w:keepNext/>
      <w:jc w:val="center"/>
      <w:outlineLvl w:val="3"/>
    </w:pPr>
    <w:rPr>
      <w:u w:val="single"/>
    </w:rPr>
  </w:style>
  <w:style w:type="paragraph" w:styleId="Heading5">
    <w:name w:val="heading 5"/>
    <w:basedOn w:val="Normal"/>
    <w:next w:val="Normal"/>
    <w:qFormat/>
    <w:pPr>
      <w:keepNext/>
      <w:widowControl w:val="0"/>
      <w:tabs>
        <w:tab w:val="left" w:pos="90"/>
      </w:tabs>
      <w:spacing w:before="146"/>
      <w:outlineLvl w:val="4"/>
    </w:pPr>
    <w:rPr>
      <w:b/>
      <w:snapToGrid w:val="0"/>
      <w:color w:val="000000"/>
      <w:sz w:val="28"/>
    </w:rPr>
  </w:style>
  <w:style w:type="paragraph" w:styleId="Heading6">
    <w:name w:val="heading 6"/>
    <w:basedOn w:val="Normal"/>
    <w:next w:val="Normal"/>
    <w:qFormat/>
    <w:pPr>
      <w:keepNext/>
      <w:jc w:val="center"/>
      <w:outlineLvl w:val="5"/>
    </w:pPr>
    <w:rPr>
      <w:rFonts w:ascii="Arial" w:hAnsi="Arial"/>
      <w:sz w:val="28"/>
    </w:rPr>
  </w:style>
  <w:style w:type="paragraph" w:styleId="Heading7">
    <w:name w:val="heading 7"/>
    <w:basedOn w:val="Normal"/>
    <w:next w:val="Normal"/>
    <w:qFormat/>
    <w:pPr>
      <w:keepNext/>
      <w:widowControl w:val="0"/>
      <w:tabs>
        <w:tab w:val="left" w:pos="90"/>
        <w:tab w:val="right" w:pos="9240"/>
      </w:tabs>
      <w:spacing w:before="146"/>
      <w:outlineLvl w:val="6"/>
    </w:pPr>
    <w:rPr>
      <w:b/>
      <w:snapToGrid w:val="0"/>
    </w:rPr>
  </w:style>
  <w:style w:type="paragraph" w:styleId="Heading8">
    <w:name w:val="heading 8"/>
    <w:basedOn w:val="Normal"/>
    <w:next w:val="Normal"/>
    <w:qFormat/>
    <w:pPr>
      <w:keepNext/>
      <w:jc w:val="center"/>
      <w:outlineLvl w:val="7"/>
    </w:pPr>
    <w:rPr>
      <w:rFonts w:ascii="Arial" w:hAnsi="Arial"/>
      <w:b/>
    </w:rPr>
  </w:style>
  <w:style w:type="paragraph" w:styleId="Heading9">
    <w:name w:val="heading 9"/>
    <w:basedOn w:val="Normal"/>
    <w:next w:val="Normal"/>
    <w:qFormat/>
    <w:rsid w:val="00EF6C7D"/>
    <w:pPr>
      <w:keepNext/>
      <w:outlineLvl w:val="8"/>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rsid w:val="00626FD7"/>
    <w:pPr>
      <w:spacing w:before="120"/>
    </w:pPr>
    <w:rPr>
      <w:rFonts w:ascii="Arial" w:hAnsi="Arial"/>
      <w:b/>
      <w:sz w:val="22"/>
    </w:rPr>
  </w:style>
  <w:style w:type="paragraph" w:styleId="TOC2">
    <w:name w:val="toc 2"/>
    <w:basedOn w:val="Normal"/>
    <w:next w:val="Normal"/>
    <w:autoRedefine/>
    <w:semiHidden/>
    <w:rsid w:val="0039683E"/>
    <w:pPr>
      <w:tabs>
        <w:tab w:val="right" w:leader="dot" w:pos="8630"/>
      </w:tabs>
      <w:spacing w:before="120"/>
      <w:ind w:left="240"/>
    </w:pPr>
    <w:rPr>
      <w:rFonts w:ascii="Arial" w:hAnsi="Arial" w:cs="Arial"/>
      <w:b/>
      <w:noProof/>
      <w:sz w:val="22"/>
    </w:rPr>
  </w:style>
  <w:style w:type="paragraph" w:styleId="TOC3">
    <w:name w:val="toc 3"/>
    <w:basedOn w:val="Normal"/>
    <w:next w:val="Normal"/>
    <w:autoRedefine/>
    <w:semiHidden/>
    <w:rsid w:val="00DE27FF"/>
    <w:pPr>
      <w:tabs>
        <w:tab w:val="right" w:leader="underscore" w:pos="8630"/>
      </w:tabs>
    </w:pPr>
    <w:rPr>
      <w:rFonts w:ascii="Arial" w:hAnsi="Arial" w:cs="Arial"/>
      <w:b/>
      <w:sz w:val="32"/>
      <w:szCs w:val="32"/>
    </w:rPr>
  </w:style>
  <w:style w:type="paragraph" w:styleId="TOC4">
    <w:name w:val="toc 4"/>
    <w:basedOn w:val="Normal"/>
    <w:next w:val="Normal"/>
    <w:autoRedefine/>
    <w:semiHidden/>
    <w:pPr>
      <w:ind w:left="720"/>
    </w:pPr>
    <w:rPr>
      <w:sz w:val="20"/>
    </w:rPr>
  </w:style>
  <w:style w:type="paragraph" w:styleId="TOC5">
    <w:name w:val="toc 5"/>
    <w:basedOn w:val="Normal"/>
    <w:next w:val="Normal"/>
    <w:autoRedefine/>
    <w:semiHidden/>
    <w:pPr>
      <w:ind w:left="960"/>
    </w:pPr>
    <w:rPr>
      <w:sz w:val="20"/>
    </w:rPr>
  </w:style>
  <w:style w:type="paragraph" w:styleId="TOC6">
    <w:name w:val="toc 6"/>
    <w:basedOn w:val="Normal"/>
    <w:next w:val="Normal"/>
    <w:autoRedefine/>
    <w:semiHidden/>
    <w:pPr>
      <w:ind w:left="1200"/>
    </w:pPr>
    <w:rPr>
      <w:sz w:val="20"/>
    </w:rPr>
  </w:style>
  <w:style w:type="paragraph" w:styleId="TOC7">
    <w:name w:val="toc 7"/>
    <w:basedOn w:val="Normal"/>
    <w:next w:val="Normal"/>
    <w:autoRedefine/>
    <w:semiHidden/>
    <w:pPr>
      <w:ind w:left="1440"/>
    </w:pPr>
    <w:rPr>
      <w:sz w:val="20"/>
    </w:rPr>
  </w:style>
  <w:style w:type="paragraph" w:styleId="TOC8">
    <w:name w:val="toc 8"/>
    <w:basedOn w:val="Normal"/>
    <w:next w:val="Normal"/>
    <w:autoRedefine/>
    <w:semiHidden/>
    <w:pPr>
      <w:ind w:left="1680"/>
    </w:pPr>
    <w:rPr>
      <w:sz w:val="20"/>
    </w:rPr>
  </w:style>
  <w:style w:type="paragraph" w:styleId="TOC9">
    <w:name w:val="toc 9"/>
    <w:basedOn w:val="Normal"/>
    <w:next w:val="Normal"/>
    <w:autoRedefine/>
    <w:semiHidden/>
    <w:pPr>
      <w:ind w:left="1920"/>
    </w:pPr>
    <w:rPr>
      <w:sz w:val="20"/>
    </w:rPr>
  </w:style>
  <w:style w:type="paragraph" w:styleId="BodyText">
    <w:name w:val="Body Text"/>
    <w:basedOn w:val="Normal"/>
    <w:pPr>
      <w:widowControl w:val="0"/>
      <w:tabs>
        <w:tab w:val="left" w:pos="90"/>
      </w:tabs>
      <w:spacing w:before="205"/>
      <w:ind w:right="-360"/>
    </w:pPr>
    <w:rPr>
      <w:snapToGrid w:val="0"/>
      <w:color w:val="000000"/>
    </w:rPr>
  </w:style>
  <w:style w:type="paragraph" w:styleId="BodyText2">
    <w:name w:val="Body Text 2"/>
    <w:basedOn w:val="Normal"/>
    <w:pPr>
      <w:widowControl w:val="0"/>
      <w:tabs>
        <w:tab w:val="left" w:pos="90"/>
        <w:tab w:val="right" w:pos="9240"/>
      </w:tabs>
      <w:spacing w:before="146"/>
    </w:pPr>
    <w:rPr>
      <w:rFonts w:ascii="MS Sans Serif" w:hAnsi="MS Sans Serif"/>
      <w:b/>
      <w:snapToGrid w:val="0"/>
    </w:rPr>
  </w:style>
  <w:style w:type="character" w:customStyle="1" w:styleId="aharris">
    <w:name w:val="aharris"/>
    <w:semiHidden/>
    <w:rsid w:val="00C355D7"/>
    <w:rPr>
      <w:rFonts w:ascii="Arial" w:hAnsi="Arial" w:cs="Arial"/>
      <w:color w:val="000080"/>
      <w:sz w:val="20"/>
      <w:szCs w:val="20"/>
    </w:rPr>
  </w:style>
  <w:style w:type="character" w:styleId="Hyperlink">
    <w:name w:val="Hyperlink"/>
    <w:rsid w:val="005A3305"/>
    <w:rPr>
      <w:color w:val="0000FF"/>
      <w:u w:val="single"/>
    </w:rPr>
  </w:style>
  <w:style w:type="paragraph" w:styleId="BalloonText">
    <w:name w:val="Balloon Text"/>
    <w:basedOn w:val="Normal"/>
    <w:semiHidden/>
    <w:rsid w:val="0077355D"/>
    <w:rPr>
      <w:rFonts w:ascii="Tahoma" w:hAnsi="Tahoma" w:cs="Tahoma"/>
      <w:sz w:val="16"/>
      <w:szCs w:val="16"/>
    </w:rPr>
  </w:style>
  <w:style w:type="paragraph" w:styleId="BodyText3">
    <w:name w:val="Body Text 3"/>
    <w:basedOn w:val="Normal"/>
    <w:rsid w:val="00BD248C"/>
    <w:pPr>
      <w:widowControl w:val="0"/>
    </w:pPr>
    <w:rPr>
      <w:rFonts w:ascii="Arial" w:hAnsi="Arial" w:cs="Arial"/>
      <w:sz w:val="22"/>
      <w:szCs w:val="22"/>
    </w:rPr>
  </w:style>
  <w:style w:type="table" w:styleId="TableGrid">
    <w:name w:val="Table Grid"/>
    <w:basedOn w:val="TableNormal"/>
    <w:rsid w:val="0002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D61E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rsid w:val="009851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outlineLvl w:val="0"/>
    </w:pPr>
    <w:rPr>
      <w:rFonts w:ascii="Arial" w:hAnsi="Arial" w:cs="Arial"/>
      <w:b/>
      <w:snapToGrid w:val="0"/>
      <w:color w:val="000000"/>
      <w:sz w:val="32"/>
      <w:szCs w:val="32"/>
    </w:rPr>
  </w:style>
  <w:style w:type="paragraph" w:styleId="Heading2">
    <w:name w:val="heading 2"/>
    <w:basedOn w:val="Normal"/>
    <w:next w:val="Normal"/>
    <w:qFormat/>
    <w:rsid w:val="0098517B"/>
    <w:pPr>
      <w:widowControl w:val="0"/>
      <w:spacing w:before="120" w:after="240"/>
      <w:jc w:val="both"/>
      <w:outlineLvl w:val="1"/>
    </w:pPr>
    <w:rPr>
      <w:rFonts w:ascii="Arial" w:hAnsi="Arial" w:cs="Arial"/>
      <w:b/>
      <w:szCs w:val="24"/>
    </w:rPr>
  </w:style>
  <w:style w:type="paragraph" w:styleId="Heading3">
    <w:name w:val="heading 3"/>
    <w:basedOn w:val="Normal"/>
    <w:next w:val="Normal"/>
    <w:qFormat/>
    <w:rsid w:val="0098517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rFonts w:ascii="Arial" w:hAnsi="Arial"/>
      <w:snapToGrid w:val="0"/>
      <w:color w:val="000000"/>
      <w:u w:val="single"/>
    </w:rPr>
  </w:style>
  <w:style w:type="paragraph" w:styleId="Heading4">
    <w:name w:val="heading 4"/>
    <w:basedOn w:val="Normal"/>
    <w:next w:val="Normal"/>
    <w:qFormat/>
    <w:pPr>
      <w:keepNext/>
      <w:jc w:val="center"/>
      <w:outlineLvl w:val="3"/>
    </w:pPr>
    <w:rPr>
      <w:u w:val="single"/>
    </w:rPr>
  </w:style>
  <w:style w:type="paragraph" w:styleId="Heading5">
    <w:name w:val="heading 5"/>
    <w:basedOn w:val="Normal"/>
    <w:next w:val="Normal"/>
    <w:qFormat/>
    <w:pPr>
      <w:keepNext/>
      <w:widowControl w:val="0"/>
      <w:tabs>
        <w:tab w:val="left" w:pos="90"/>
      </w:tabs>
      <w:spacing w:before="146"/>
      <w:outlineLvl w:val="4"/>
    </w:pPr>
    <w:rPr>
      <w:b/>
      <w:snapToGrid w:val="0"/>
      <w:color w:val="000000"/>
      <w:sz w:val="28"/>
    </w:rPr>
  </w:style>
  <w:style w:type="paragraph" w:styleId="Heading6">
    <w:name w:val="heading 6"/>
    <w:basedOn w:val="Normal"/>
    <w:next w:val="Normal"/>
    <w:qFormat/>
    <w:pPr>
      <w:keepNext/>
      <w:jc w:val="center"/>
      <w:outlineLvl w:val="5"/>
    </w:pPr>
    <w:rPr>
      <w:rFonts w:ascii="Arial" w:hAnsi="Arial"/>
      <w:sz w:val="28"/>
    </w:rPr>
  </w:style>
  <w:style w:type="paragraph" w:styleId="Heading7">
    <w:name w:val="heading 7"/>
    <w:basedOn w:val="Normal"/>
    <w:next w:val="Normal"/>
    <w:qFormat/>
    <w:pPr>
      <w:keepNext/>
      <w:widowControl w:val="0"/>
      <w:tabs>
        <w:tab w:val="left" w:pos="90"/>
        <w:tab w:val="right" w:pos="9240"/>
      </w:tabs>
      <w:spacing w:before="146"/>
      <w:outlineLvl w:val="6"/>
    </w:pPr>
    <w:rPr>
      <w:b/>
      <w:snapToGrid w:val="0"/>
    </w:rPr>
  </w:style>
  <w:style w:type="paragraph" w:styleId="Heading8">
    <w:name w:val="heading 8"/>
    <w:basedOn w:val="Normal"/>
    <w:next w:val="Normal"/>
    <w:qFormat/>
    <w:pPr>
      <w:keepNext/>
      <w:jc w:val="center"/>
      <w:outlineLvl w:val="7"/>
    </w:pPr>
    <w:rPr>
      <w:rFonts w:ascii="Arial" w:hAnsi="Arial"/>
      <w:b/>
    </w:rPr>
  </w:style>
  <w:style w:type="paragraph" w:styleId="Heading9">
    <w:name w:val="heading 9"/>
    <w:basedOn w:val="Normal"/>
    <w:next w:val="Normal"/>
    <w:qFormat/>
    <w:rsid w:val="00EF6C7D"/>
    <w:pPr>
      <w:keepNext/>
      <w:outlineLvl w:val="8"/>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rsid w:val="00626FD7"/>
    <w:pPr>
      <w:spacing w:before="120"/>
    </w:pPr>
    <w:rPr>
      <w:rFonts w:ascii="Arial" w:hAnsi="Arial"/>
      <w:b/>
      <w:sz w:val="22"/>
    </w:rPr>
  </w:style>
  <w:style w:type="paragraph" w:styleId="TOC2">
    <w:name w:val="toc 2"/>
    <w:basedOn w:val="Normal"/>
    <w:next w:val="Normal"/>
    <w:autoRedefine/>
    <w:semiHidden/>
    <w:rsid w:val="0039683E"/>
    <w:pPr>
      <w:tabs>
        <w:tab w:val="right" w:leader="dot" w:pos="8630"/>
      </w:tabs>
      <w:spacing w:before="120"/>
      <w:ind w:left="240"/>
    </w:pPr>
    <w:rPr>
      <w:rFonts w:ascii="Arial" w:hAnsi="Arial" w:cs="Arial"/>
      <w:b/>
      <w:noProof/>
      <w:sz w:val="22"/>
    </w:rPr>
  </w:style>
  <w:style w:type="paragraph" w:styleId="TOC3">
    <w:name w:val="toc 3"/>
    <w:basedOn w:val="Normal"/>
    <w:next w:val="Normal"/>
    <w:autoRedefine/>
    <w:semiHidden/>
    <w:rsid w:val="00DE27FF"/>
    <w:pPr>
      <w:tabs>
        <w:tab w:val="right" w:leader="underscore" w:pos="8630"/>
      </w:tabs>
    </w:pPr>
    <w:rPr>
      <w:rFonts w:ascii="Arial" w:hAnsi="Arial" w:cs="Arial"/>
      <w:b/>
      <w:sz w:val="32"/>
      <w:szCs w:val="32"/>
    </w:rPr>
  </w:style>
  <w:style w:type="paragraph" w:styleId="TOC4">
    <w:name w:val="toc 4"/>
    <w:basedOn w:val="Normal"/>
    <w:next w:val="Normal"/>
    <w:autoRedefine/>
    <w:semiHidden/>
    <w:pPr>
      <w:ind w:left="720"/>
    </w:pPr>
    <w:rPr>
      <w:sz w:val="20"/>
    </w:rPr>
  </w:style>
  <w:style w:type="paragraph" w:styleId="TOC5">
    <w:name w:val="toc 5"/>
    <w:basedOn w:val="Normal"/>
    <w:next w:val="Normal"/>
    <w:autoRedefine/>
    <w:semiHidden/>
    <w:pPr>
      <w:ind w:left="960"/>
    </w:pPr>
    <w:rPr>
      <w:sz w:val="20"/>
    </w:rPr>
  </w:style>
  <w:style w:type="paragraph" w:styleId="TOC6">
    <w:name w:val="toc 6"/>
    <w:basedOn w:val="Normal"/>
    <w:next w:val="Normal"/>
    <w:autoRedefine/>
    <w:semiHidden/>
    <w:pPr>
      <w:ind w:left="1200"/>
    </w:pPr>
    <w:rPr>
      <w:sz w:val="20"/>
    </w:rPr>
  </w:style>
  <w:style w:type="paragraph" w:styleId="TOC7">
    <w:name w:val="toc 7"/>
    <w:basedOn w:val="Normal"/>
    <w:next w:val="Normal"/>
    <w:autoRedefine/>
    <w:semiHidden/>
    <w:pPr>
      <w:ind w:left="1440"/>
    </w:pPr>
    <w:rPr>
      <w:sz w:val="20"/>
    </w:rPr>
  </w:style>
  <w:style w:type="paragraph" w:styleId="TOC8">
    <w:name w:val="toc 8"/>
    <w:basedOn w:val="Normal"/>
    <w:next w:val="Normal"/>
    <w:autoRedefine/>
    <w:semiHidden/>
    <w:pPr>
      <w:ind w:left="1680"/>
    </w:pPr>
    <w:rPr>
      <w:sz w:val="20"/>
    </w:rPr>
  </w:style>
  <w:style w:type="paragraph" w:styleId="TOC9">
    <w:name w:val="toc 9"/>
    <w:basedOn w:val="Normal"/>
    <w:next w:val="Normal"/>
    <w:autoRedefine/>
    <w:semiHidden/>
    <w:pPr>
      <w:ind w:left="1920"/>
    </w:pPr>
    <w:rPr>
      <w:sz w:val="20"/>
    </w:rPr>
  </w:style>
  <w:style w:type="paragraph" w:styleId="BodyText">
    <w:name w:val="Body Text"/>
    <w:basedOn w:val="Normal"/>
    <w:pPr>
      <w:widowControl w:val="0"/>
      <w:tabs>
        <w:tab w:val="left" w:pos="90"/>
      </w:tabs>
      <w:spacing w:before="205"/>
      <w:ind w:right="-360"/>
    </w:pPr>
    <w:rPr>
      <w:snapToGrid w:val="0"/>
      <w:color w:val="000000"/>
    </w:rPr>
  </w:style>
  <w:style w:type="paragraph" w:styleId="BodyText2">
    <w:name w:val="Body Text 2"/>
    <w:basedOn w:val="Normal"/>
    <w:pPr>
      <w:widowControl w:val="0"/>
      <w:tabs>
        <w:tab w:val="left" w:pos="90"/>
        <w:tab w:val="right" w:pos="9240"/>
      </w:tabs>
      <w:spacing w:before="146"/>
    </w:pPr>
    <w:rPr>
      <w:rFonts w:ascii="MS Sans Serif" w:hAnsi="MS Sans Serif"/>
      <w:b/>
      <w:snapToGrid w:val="0"/>
    </w:rPr>
  </w:style>
  <w:style w:type="character" w:customStyle="1" w:styleId="aharris">
    <w:name w:val="aharris"/>
    <w:semiHidden/>
    <w:rsid w:val="00C355D7"/>
    <w:rPr>
      <w:rFonts w:ascii="Arial" w:hAnsi="Arial" w:cs="Arial"/>
      <w:color w:val="000080"/>
      <w:sz w:val="20"/>
      <w:szCs w:val="20"/>
    </w:rPr>
  </w:style>
  <w:style w:type="character" w:styleId="Hyperlink">
    <w:name w:val="Hyperlink"/>
    <w:rsid w:val="005A3305"/>
    <w:rPr>
      <w:color w:val="0000FF"/>
      <w:u w:val="single"/>
    </w:rPr>
  </w:style>
  <w:style w:type="paragraph" w:styleId="BalloonText">
    <w:name w:val="Balloon Text"/>
    <w:basedOn w:val="Normal"/>
    <w:semiHidden/>
    <w:rsid w:val="0077355D"/>
    <w:rPr>
      <w:rFonts w:ascii="Tahoma" w:hAnsi="Tahoma" w:cs="Tahoma"/>
      <w:sz w:val="16"/>
      <w:szCs w:val="16"/>
    </w:rPr>
  </w:style>
  <w:style w:type="paragraph" w:styleId="BodyText3">
    <w:name w:val="Body Text 3"/>
    <w:basedOn w:val="Normal"/>
    <w:rsid w:val="00BD248C"/>
    <w:pPr>
      <w:widowControl w:val="0"/>
    </w:pPr>
    <w:rPr>
      <w:rFonts w:ascii="Arial" w:hAnsi="Arial" w:cs="Arial"/>
      <w:sz w:val="22"/>
      <w:szCs w:val="22"/>
    </w:rPr>
  </w:style>
  <w:style w:type="table" w:styleId="TableGrid">
    <w:name w:val="Table Grid"/>
    <w:basedOn w:val="TableNormal"/>
    <w:rsid w:val="0002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D61E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34068">
      <w:bodyDiv w:val="1"/>
      <w:marLeft w:val="0"/>
      <w:marRight w:val="0"/>
      <w:marTop w:val="0"/>
      <w:marBottom w:val="0"/>
      <w:divBdr>
        <w:top w:val="none" w:sz="0" w:space="0" w:color="auto"/>
        <w:left w:val="none" w:sz="0" w:space="0" w:color="auto"/>
        <w:bottom w:val="none" w:sz="0" w:space="0" w:color="auto"/>
        <w:right w:val="none" w:sz="0" w:space="0" w:color="auto"/>
      </w:divBdr>
    </w:div>
    <w:div w:id="1024747370">
      <w:bodyDiv w:val="1"/>
      <w:marLeft w:val="0"/>
      <w:marRight w:val="0"/>
      <w:marTop w:val="0"/>
      <w:marBottom w:val="0"/>
      <w:divBdr>
        <w:top w:val="none" w:sz="0" w:space="0" w:color="auto"/>
        <w:left w:val="none" w:sz="0" w:space="0" w:color="auto"/>
        <w:bottom w:val="none" w:sz="0" w:space="0" w:color="auto"/>
        <w:right w:val="none" w:sz="0" w:space="0" w:color="auto"/>
      </w:divBdr>
    </w:div>
    <w:div w:id="1105616047">
      <w:bodyDiv w:val="1"/>
      <w:marLeft w:val="0"/>
      <w:marRight w:val="0"/>
      <w:marTop w:val="0"/>
      <w:marBottom w:val="0"/>
      <w:divBdr>
        <w:top w:val="none" w:sz="0" w:space="0" w:color="auto"/>
        <w:left w:val="none" w:sz="0" w:space="0" w:color="auto"/>
        <w:bottom w:val="none" w:sz="0" w:space="0" w:color="auto"/>
        <w:right w:val="none" w:sz="0" w:space="0" w:color="auto"/>
      </w:divBdr>
    </w:div>
    <w:div w:id="1380934969">
      <w:bodyDiv w:val="1"/>
      <w:marLeft w:val="0"/>
      <w:marRight w:val="0"/>
      <w:marTop w:val="0"/>
      <w:marBottom w:val="0"/>
      <w:divBdr>
        <w:top w:val="none" w:sz="0" w:space="0" w:color="auto"/>
        <w:left w:val="none" w:sz="0" w:space="0" w:color="auto"/>
        <w:bottom w:val="none" w:sz="0" w:space="0" w:color="auto"/>
        <w:right w:val="none" w:sz="0" w:space="0" w:color="auto"/>
      </w:divBdr>
    </w:div>
    <w:div w:id="1404915473">
      <w:bodyDiv w:val="1"/>
      <w:marLeft w:val="0"/>
      <w:marRight w:val="0"/>
      <w:marTop w:val="0"/>
      <w:marBottom w:val="0"/>
      <w:divBdr>
        <w:top w:val="none" w:sz="0" w:space="0" w:color="auto"/>
        <w:left w:val="none" w:sz="0" w:space="0" w:color="auto"/>
        <w:bottom w:val="none" w:sz="0" w:space="0" w:color="auto"/>
        <w:right w:val="none" w:sz="0" w:space="0" w:color="auto"/>
      </w:divBdr>
    </w:div>
    <w:div w:id="1957977891">
      <w:bodyDiv w:val="1"/>
      <w:marLeft w:val="0"/>
      <w:marRight w:val="0"/>
      <w:marTop w:val="0"/>
      <w:marBottom w:val="0"/>
      <w:divBdr>
        <w:top w:val="none" w:sz="0" w:space="0" w:color="auto"/>
        <w:left w:val="none" w:sz="0" w:space="0" w:color="auto"/>
        <w:bottom w:val="none" w:sz="0" w:space="0" w:color="auto"/>
        <w:right w:val="none" w:sz="0" w:space="0" w:color="auto"/>
      </w:divBdr>
    </w:div>
    <w:div w:id="199329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436CB-56CC-41AA-A7A1-62A61327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3794</Words>
  <Characters>21627</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Final Report Phase I As Released</vt:lpstr>
    </vt:vector>
  </TitlesOfParts>
  <Company>State of Iowa</Company>
  <LinksUpToDate>false</LinksUpToDate>
  <CharactersWithSpaces>25371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Phase I As Released</dc:title>
  <dc:creator>Lorin Knapp</dc:creator>
  <dc:description>Complete report of phase one of tax expenditure project with suggested revisions and federal provisions separately described</dc:description>
  <cp:lastModifiedBy>Sate of Iowa</cp:lastModifiedBy>
  <cp:revision>2</cp:revision>
  <cp:lastPrinted>2014-06-20T19:20:00Z</cp:lastPrinted>
  <dcterms:created xsi:type="dcterms:W3CDTF">2014-12-04T18:09:00Z</dcterms:created>
  <dcterms:modified xsi:type="dcterms:W3CDTF">2014-12-04T18:09:00Z</dcterms:modified>
</cp:coreProperties>
</file>